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Приложение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Чек-лист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мониторинга внедрения антимонопольного комплаенса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Великоустюгского муниципального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муниципального образования)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152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176"/>
        <w:gridCol w:w="5168"/>
        <w:gridCol w:w="4352"/>
      </w:tblGrid>
      <w:tr>
        <w:trPr>
          <w:tblHeader w:val="true"/>
          <w:trHeight w:val="1174" w:hRule="atLeast"/>
        </w:trPr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п/п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Показатели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Документ, подтверждающий исполнение,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 xml:space="preserve">ссылка в сети Интернет </w:t>
            </w:r>
          </w:p>
        </w:tc>
      </w:tr>
      <w:tr>
        <w:trPr/>
        <w:tc>
          <w:tcPr>
            <w:tcW w:w="152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ListParagraph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0" w:hanging="36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ahoma" w:cs="Noto Sans Devanagari"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Организация и функционирование антимонопольного комплаенса</w:t>
            </w:r>
          </w:p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ahoma" w:cs="Noto Sans Devanagari" w:ascii="Times New Roman" w:hAnsi="Times New Roman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6"/>
              </w:rPr>
              <w:t>1.1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Наличие утвержденного правового акта об организации антимонопольного комплаенса в ОМСУ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1) наличие утвержденного правового акта;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2) наличие утвержденного положения об организации антимонопольного комплаенса ОМСУ;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3) наличие документа в разделе «Антимонопольный комплаенс» на официальном сайте ОМСУ;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1,2) Постановление администрации Великоустюгского муниципального округа от 03.04.2023 №807 «Об организации системе внутреннего обеспечения соответствия требованиям антимонопольного законодательства в администрации Великоустюгского муниципального округа».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nos" w:hAnsi="Tinos"/>
                <w:sz w:val="22"/>
                <w:szCs w:val="22"/>
              </w:rPr>
            </w:pP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3) Размещен в разделе «Экономика» подраздел «Антимонопольный комплаенс» на официальном сайте администрации Великоустюгского муниципального округа.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1.2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Наличие утвержденного правового акта, определяющего  уполномоченное подразделение (должностное лицо) и коллегиальный орган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4) наличие утвержденного правового акта;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5) определение уполномоченного подразделения (должностного лица);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6) определение коллегиального органа;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7) наличие представителей общественности и бизнеса в составе коллегиального органа;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</w:rPr>
              <w:t>8) наличие документа в разделе «Антимонопольный комплаенс» на официальном сайте ОМСУ;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4,5) Постановлением администрации Великоустюгского муниципального округа от 03.04.2023 №807 «Об организации системе внутреннего обеспечения соответствия требованиям антимонопольного законодательства в администрации Великоустюгского муниципального округа» определено уполномоченное подразделение - управление экономического развития.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6) Коллегиальный орган создан постановлением администрации Великоустюгского муниципального округа от 27.12.2023 № 3644 «О создании Комиссии по оценке эффективности функционирования антимонопольного комплаенса»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7) Представители общественности и бизнеса в коллегиальный орган имеется - Председатель Районного Совета промышленников и предпринимателей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8) НПА размещены в разделе «Экономика» подраздел «Антимонопольный комплаенс» на официальном сайте администрации Великоустюгского муниципального округа.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1.3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Внесение положений об антимонопольном комплаенсе в положение, регламентирующее деятельность коллегиального органа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9) наличие утвержденного правового акта 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9)П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остановление администрации Великоустюгского муниципального округаот 27.12.2023 № 3644 «О создании Комиссии по оценке эффективности функционирования антимонопольного комплаенса»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1.4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Разработка и утверждение правового акта ОМСУ об утверждении перечня ключевых показателей эффективности функционирования антимонопольного комплаенса и методики их расчета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10) наличие правового акта об  утверждении перечня ключевых показателей и методики их расчета;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11) наличие документа в разделе «Антимонопольный комплаенс» на официальном сайте ОМСУ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10)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Постановление администрации Великоустюгского муниципального округа от 03.04.2023 №807 «Об организации системе внутреннего обеспечения соответствия требованиям антимонопольного законодательства в администрации Великоустюгского муниципального округа»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Постановление администрации Великоустюгского муниципального округа от 27.12.2023 № 3645 «О внесении изменений в постановление администрации Великоустюгского муниципального округа от 03.04.2023 №807 «Об организации системе внутреннего обеспечения соответствия требованиям антимонопольного законодательства в администрации Великоустюгского муниципального округа»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11)</w:t>
            </w: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НПА размещены в разделе «Экономика» подраздел «Антимонопольный комплаенс» на официальном сайте администрации Великоустюгского муниципального округа.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1.5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Разработка и утверждение правового акта об утверждении внутренних документов ОМСУ, обеспечивающих управление рисками нарушения антимонопольного законодательства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12) наличие правового акта об утверждении карты комплаенс-рисков;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13) наличие утвержденного плана мероприятий по снижению комплаенс-рисков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14) наличие документа(-ов) в разделе «Антимонопольный комплаенс» на официальном сайте ОМСУ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12) Постановление администрации Великоустюгского муниципального округа от 10.03.2023 № 47 «Об утверждении карты рисков нарушений антимонопольного законодательства Российской Федерации (комплаенс-рисков) администрации Великоустюгского муниципального округа на 2023 год»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13)Постановление администрации Великоустюгского муниципального округа от 10.03.2023 № 48 «Об утверждении плана мероприятий по снижению комплаенс-рисков в администрации Великоустюгского муниципального округа на 2023 год»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14) </w:t>
            </w: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НПА размещены в разделе «Экономика» подраздел «Антимонопольный комплаенс» на официальном сайте администрации Великоустюгского муниципального округа.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1.6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Внесение изменений в положения об ОМСУ, положения о структурных подразделениях ОМСУ, должностные регламенты (инструкции) сотрудников, касающиеся организации антимонопольного комплаенса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15) наличие утвержденных изменений в положение об ОМСУ, касающиеся организации антимонопольного комплаенса;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16) наличие утвержденных изменений в положения о структурных подразделениях ОМСУ, касающиеся организации антимонопольного комплаенса;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17) наличие утвержденных изменений в должностные регламенты (инструкции) сотрудников ОМСУ, касающиеся организации антимонопольного комплаенса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15)Распоряжение администрации Великоустюгского муниципального округа от 09.01.2023 №2 «</w:t>
            </w:r>
            <w:r>
              <w:rPr>
                <w:rFonts w:eastAsia="Times New Roman" w:cs="Times New Roman" w:ascii="Tinos" w:hAnsi="Tinos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 </w:t>
            </w: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распределении вопросов в</w:t>
            </w:r>
            <w:r>
              <w:rPr>
                <w:rFonts w:eastAsia="Times New Roman" w:cs="Times New Roman" w:ascii="Tinos" w:hAnsi="Tinos"/>
                <w:i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дения между Главой Великоустюгского муниципального округа, его заместителями и руководителем аппарата»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16)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 xml:space="preserve"> Постановление администрации Великоустюгского муниципального округа от 27.01.2023 №174 «Об утверждении положения об управлении экономического развития администрации Великоустюгского муниципального округа».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17) Новые должностные инструкции сотрудников готовятся.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1.7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Наличие раздела «Антимонопольный  комплаенс» на официальном сайте ОМСУ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18) наличие раздела «Антимонопольный комплаенс» на официальном сайте ОМСУ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18) Имеется подраздел «Антимонопольный комплаенс» в разделе «Экономика» </w:t>
            </w:r>
          </w:p>
        </w:tc>
      </w:tr>
      <w:tr>
        <w:trPr>
          <w:trHeight w:val="542" w:hRule="atLeast"/>
        </w:trPr>
        <w:tc>
          <w:tcPr>
            <w:tcW w:w="15222" w:type="dxa"/>
            <w:gridSpan w:val="4"/>
            <w:tcBorders/>
          </w:tcPr>
          <w:p>
            <w:pPr>
              <w:pStyle w:val="ConsPlusTitle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eastAsia="Tahoma" w:cs="Noto Sans Devanagari" w:ascii="Times New Roman" w:hAnsi="Times New Roman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ConsPlusTitle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eastAsia="Tahoma" w:cs="Noto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2. Выявление и оценка рисков нарушения антимонопольного законодательства (комплаенс-рисков)</w:t>
            </w:r>
          </w:p>
          <w:p>
            <w:pPr>
              <w:pStyle w:val="ConsPlusTitle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eastAsia="Tahoma" w:cs="Noto Sans Devanagari" w:ascii="Times New Roman" w:hAnsi="Times New Roman"/>
                <w:color w:val="000000"/>
                <w:kern w:val="0"/>
                <w:sz w:val="22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2.1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анализа выявленных нарушений антимонопольного законодательства в деятельности ОМСУ (наличие предостережений, предупреждений, штрафов, жалоб, возбужденных дел)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19) представление информации о проведении анализа нарушений 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Анализ выявленных нарушений  антимонопольного законодательства проведен за 3 года. Информация включена в доклад о реализации антимонопольного комплаенса в администрации Великоустюгского муниципального округа за 2023 год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2.2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анализа  правовых актов ОМСУ и их проектов на предмет выявления рисков нарушения антимонопольного законодательства</w:t>
            </w:r>
          </w:p>
        </w:tc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20) правовой акт ОМСУ об утверждении методических рекомендаций по осуществлению анализа правовых актов и их проектов на предмет выявления рисков нарушения антимонопольного законодательства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20)Постановление администрации Великоустюгского муниципального округа от 03.04.2023 №807 «Об организации системе внутреннего обеспечения соответствия требованиям антимонопольного законодательства в администрации Великоустюгского муниципального округа»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Постановление администрации Великоустюгского муниципального округа от 27.12.2023 № 3645 «О внесении изменений в постановление администрации Великоустюгского муниципального округа от 03.04.2023 №807 «Об организации системе внутреннего обеспечения соответствия требованиям антимонопольного законодательства в администрации Великоустюгского муниципального округа»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11)</w:t>
            </w:r>
            <w:r>
              <w:rPr>
                <w:rFonts w:eastAsia="Times New Roman" w:cs="Times New Roman" w:ascii="Tinos" w:hAnsi="Tinos"/>
                <w:color w:val="000000"/>
                <w:kern w:val="0"/>
                <w:sz w:val="22"/>
                <w:szCs w:val="22"/>
                <w:lang w:val="ru-RU" w:eastAsia="ru-RU" w:bidi="ar-SA"/>
              </w:rPr>
              <w:t>НПА размещены в разделе «Экономика» подраздел «Антимонопольный комплаенс» на официальном сайте администрац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152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3. Результативность и эффективность функционирования антимонопольного комплаенса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408" w:hRule="atLeast"/>
        </w:trPr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3.1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Выполнение ключевых показателей эффективности функционирования антимонопольного комплаенса ОМСУ за 2023 год</w:t>
            </w:r>
          </w:p>
        </w:tc>
        <w:tc>
          <w:tcPr>
            <w:tcW w:w="51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Достигнуты целевые значения КПЭ: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21) количество нарушений антимонопольного законодательства,  допущенных ОМСУ в 2023 году: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22) доля сотрудников ОМСУ, принявших участие в обучающих мероприятиях основам антимонопольного законодательства, организации и функционированию антимонопольного комплаенса  в 2023 году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23) доля проектов 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2"/>
                <w:szCs w:val="20"/>
              </w:rPr>
              <w:t xml:space="preserve">НПА, размещенных в 2023 году в разделе «Антимонопольный комплаенс» официального сайта ОМСУ в рамках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проведения анализа </w:t>
            </w:r>
            <w:r>
              <w:rPr>
                <w:rFonts w:ascii="Times New Roman" w:hAnsi="Times New Roman"/>
                <w:color w:val="000000" w:themeColor="text1"/>
                <w:spacing w:val="0"/>
                <w:kern w:val="0"/>
                <w:sz w:val="22"/>
                <w:szCs w:val="20"/>
              </w:rPr>
              <w:t>на предмет выявления рисков нарушения антимонопольного законодательства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21)  не   выявлено нарушений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22)  нет ( заявка была подана, но  курсы не проводились)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23)  нет (новые НПА,т.к. район преобразовался в округ с 01.01.2023 года)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3.2</w:t>
            </w:r>
          </w:p>
        </w:tc>
        <w:tc>
          <w:tcPr>
            <w:tcW w:w="5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Подготовка доклада об антимонопольном комплаенсе ОМСУ за 2023 год, утвержденного коллегиальным органом</w:t>
            </w:r>
          </w:p>
        </w:tc>
        <w:tc>
          <w:tcPr>
            <w:tcW w:w="51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24) доклад включает отчет о реализации плана мероприятий по снижению рисков нарушения антимонопольного законодательства ОМСУ за 2023 год;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25) утверждение доклада коллегиальным органом;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26) представление доклада в Комитет;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27) наличие доклада в разделе «Антимонопольный комплаенс» на официальном сайте ОМСУ</w:t>
            </w:r>
          </w:p>
        </w:tc>
        <w:tc>
          <w:tcPr>
            <w:tcW w:w="4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24) 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25) да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26) да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27) да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orient="landscape" w:w="16838" w:h="11906"/>
      <w:pgMar w:left="1077" w:right="539" w:gutter="0" w:header="709" w:top="766" w:footer="0" w:bottom="737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jc w:val="center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341.05pt;margin-top:0.05pt;width:78.9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basedOn w:val="Normal"/>
    <w:uiPriority w:val="9"/>
    <w:qFormat/>
    <w:pPr>
      <w:spacing w:lineRule="auto" w:line="240" w:beforeAutospacing="1" w:afterAutospacing="1"/>
      <w:outlineLvl w:val="2"/>
    </w:pPr>
    <w:rPr>
      <w:rFonts w:ascii="Times New Roman" w:hAnsi="Times New Roman"/>
      <w:b/>
      <w:sz w:val="27"/>
    </w:rPr>
  </w:style>
  <w:style w:type="paragraph" w:styleId="4">
    <w:name w:val="Heading 4"/>
    <w:basedOn w:val="Normal"/>
    <w:next w:val="Normal"/>
    <w:uiPriority w:val="9"/>
    <w:qFormat/>
    <w:pPr>
      <w:keepNext w:val="true"/>
      <w:keepLines/>
      <w:spacing w:before="200" w:after="0"/>
      <w:outlineLvl w:val="3"/>
    </w:pPr>
    <w:rPr>
      <w:rFonts w:ascii="Cambria" w:hAnsi="Cambria" w:asciiTheme="majorAscii" w:hAnsiTheme="majorHAnsi"/>
      <w:b/>
      <w:i/>
      <w:color w:val="4F81BD" w:themeColor="accent1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link w:val="DefaultParagraphFont1"/>
    <w:qFormat/>
    <w:rPr/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Times New Roman" w:hAnsi="Times New Roman"/>
      <w:b/>
      <w:sz w:val="27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Style9">
    <w:name w:val="Hyperlink"/>
    <w:basedOn w:val="DefaultParagraphFont"/>
    <w:rPr>
      <w:color w:val="0000FF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ListParagraph">
    <w:name w:val="List Paragraph"/>
    <w:link w:val="ListParagraph1"/>
    <w:qFormat/>
    <w:rPr/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Footer">
    <w:name w:val="Footer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Cambria" w:hAnsi="Cambria" w:asciiTheme="majorAscii" w:hAnsiTheme="majorHAnsi"/>
      <w:b/>
      <w:i/>
      <w:color w:val="4F81BD" w:themeColor="accent1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240" w:before="0" w:after="20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basedOn w:val="DefaultParagraphFont1"/>
    <w:qFormat/>
    <w:pPr/>
    <w:rPr>
      <w:color w:val="0000FF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200"/>
      <w:ind w:left="720" w:right="0" w:hanging="0"/>
      <w:contextualSpacing/>
    </w:pPr>
    <w:rPr/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Tahoma" w:hAnsi="Tahoma"/>
      <w:sz w:val="16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0">
    <w:name w:val="Содержимое врезки"/>
    <w:basedOn w:val="Normal"/>
    <w:qFormat/>
    <w:pPr/>
    <w:rPr/>
  </w:style>
  <w:style w:type="table" w:styleId="Style_2">
    <w:name w:val="Table Grid"/>
    <w:basedOn w:val="Style_29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29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LibreOffice/7.4.3.2$Linux_X86_64 LibreOffice_project/40$Build-2</Application>
  <AppVersion>15.0000</AppVersion>
  <Pages>6</Pages>
  <Words>964</Words>
  <Characters>7990</Characters>
  <CharactersWithSpaces>8890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2024-01-26T15:30:14Z</cp:lastPrinted>
  <dcterms:modified xsi:type="dcterms:W3CDTF">2024-01-26T15:53:04Z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