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before="120" w:after="120"/>
        <w:jc w:val="center"/>
        <w:rPr/>
      </w:pPr>
      <w:r>
        <w:rPr/>
        <w:drawing>
          <wp:inline distT="0" distB="0" distL="0" distR="0">
            <wp:extent cx="506730" cy="59753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rPr/>
      </w:pPr>
      <w:r>
        <w:rPr/>
      </w:r>
    </w:p>
    <w:p>
      <w:pPr>
        <w:pStyle w:val="1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>
      <w:pPr>
        <w:pStyle w:val="Style22"/>
        <w:tabs>
          <w:tab w:val="clear" w:pos="4677"/>
          <w:tab w:val="clear" w:pos="9355"/>
        </w:tabs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2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sz w:val="16"/>
        </w:rPr>
        <w:t xml:space="preserve">  </w:t>
      </w:r>
      <w:r>
        <w:rPr>
          <w:sz w:val="16"/>
        </w:rPr>
        <w:t>от</w:t>
      </w:r>
      <w:r>
        <w:rPr/>
        <w:t xml:space="preserve">                                   </w:t>
      </w:r>
      <w:r>
        <w:rPr>
          <w:sz w:val="16"/>
        </w:rPr>
        <w:t>№</w:t>
      </w:r>
      <w:r>
        <w:rPr/>
        <w:t xml:space="preserve">   </w:t>
      </w:r>
    </w:p>
    <w:p>
      <w:pPr>
        <w:pStyle w:val="Normal"/>
        <w:rPr/>
      </w:pPr>
      <w:r>
        <w:rPr>
          <w:sz w:val="6"/>
        </w:rPr>
        <w:t xml:space="preserve">                  </w:t>
      </w:r>
      <w:r>
        <w:rPr>
          <w:sz w:val="6"/>
        </w:rPr>
        <w:t>_____________________________________________________                   _________________________</w:t>
      </w:r>
    </w:p>
    <w:p>
      <w:pPr>
        <w:pStyle w:val="Normal"/>
        <w:ind w:left="426" w:hanging="0"/>
        <w:rPr>
          <w:sz w:val="16"/>
        </w:rPr>
      </w:pPr>
      <w:r>
        <w:rPr>
          <w:sz w:val="16"/>
        </w:rPr>
        <w:t>г. Великий Устюг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tbl>
      <w:tblPr>
        <w:tblW w:w="5774" w:type="dxa"/>
        <w:jc w:val="left"/>
        <w:tblInd w:w="-102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20"/>
        <w:gridCol w:w="737"/>
        <w:gridCol w:w="20"/>
        <w:gridCol w:w="62"/>
        <w:gridCol w:w="35"/>
      </w:tblGrid>
      <w:tr>
        <w:trPr>
          <w:trHeight w:val="924" w:hRule="atLeast"/>
          <w:cantSplit w:val="true"/>
        </w:trPr>
        <w:tc>
          <w:tcPr>
            <w:tcW w:w="492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80645</wp:posOffset>
                      </wp:positionV>
                      <wp:extent cx="1270" cy="1270"/>
                      <wp:effectExtent l="0" t="0" r="0" b="0"/>
                      <wp:wrapNone/>
                      <wp:docPr id="2" name="Изображение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6.2pt,6.35pt" to="-6.2pt,6.35pt" ID="Изображение1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13665" cy="1270"/>
                      <wp:effectExtent l="0" t="0" r="0" b="0"/>
                      <wp:wrapNone/>
                      <wp:docPr id="3" name="Изображение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.05pt" to="12.6pt,0.05pt" ID="Изображение2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635</wp:posOffset>
                      </wp:positionV>
                      <wp:extent cx="113665" cy="1270"/>
                      <wp:effectExtent l="0" t="0" r="0" b="0"/>
                      <wp:wrapNone/>
                      <wp:docPr id="4" name="Изображение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34.9pt,0.05pt" to="247.5pt,0.05pt" ID="Изображение3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перечне соревнований, конкурсов и иных мероприятий по результатам участия в которых, получаемые налогоплательщиками </w:t>
            </w:r>
            <w:r>
              <w:rPr>
                <w:rFonts w:eastAsia="NSimSun"/>
                <w:bCs/>
                <w:sz w:val="28"/>
                <w:szCs w:val="28"/>
                <w:lang w:eastAsia="zh-CN"/>
              </w:rPr>
              <w:t>за счет средств бюджета округа гранты, премии, призы и (или) подарки в денежной и (или) натуральной формах, не подлежат налогообложению налогом на доходы физических лиц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80645</wp:posOffset>
                      </wp:positionV>
                      <wp:extent cx="1270" cy="1270"/>
                      <wp:effectExtent l="0" t="0" r="0" b="0"/>
                      <wp:wrapNone/>
                      <wp:docPr id="5" name="Изображение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.45pt,6.35pt" to="0.45pt,6.35pt" ID="Изображение4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</w:r>
          </w:p>
        </w:tc>
        <w:tc>
          <w:tcPr>
            <w:tcW w:w="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</w:r>
          </w:p>
        </w:tc>
        <w:tc>
          <w:tcPr>
            <w:tcW w:w="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На основании пункта 6.4. статьи 217 Налогового кодекса Российской Федерации, </w:t>
      </w:r>
      <w:r>
        <w:rPr>
          <w:color w:val="000000"/>
          <w:sz w:val="28"/>
          <w:szCs w:val="28"/>
        </w:rPr>
        <w:t>руководствуясь статьями 25 и 28 Устава Великоустюгского муниципального округа Вологодской области,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следующий перечень соревнований, конкурсов и иных мероприятий по результатам участия в которых, получаемые налогоплательщиками </w:t>
      </w:r>
      <w:r>
        <w:rPr>
          <w:rFonts w:eastAsia="NSimSun"/>
          <w:bCs/>
          <w:sz w:val="28"/>
          <w:szCs w:val="28"/>
          <w:lang w:eastAsia="zh-CN"/>
        </w:rPr>
        <w:t>за счет средств бюджета округа гранты, премии, призы и (или) подарки в денежной и (или) натуральной формах, не подлежат налогообложению налогом на доходы физических лиц</w:t>
      </w:r>
      <w:r>
        <w:rPr>
          <w:sz w:val="28"/>
          <w:szCs w:val="28"/>
        </w:rPr>
        <w:t>:</w:t>
      </w:r>
    </w:p>
    <w:p>
      <w:pPr>
        <w:pStyle w:val="Normal"/>
        <w:jc w:val="both"/>
        <w:rPr>
          <w:color w:val="000000"/>
          <w:sz w:val="28"/>
          <w:szCs w:val="27"/>
        </w:rPr>
      </w:pPr>
      <w:r>
        <w:rPr/>
        <w:tab/>
      </w:r>
      <w:r>
        <w:rPr>
          <w:sz w:val="28"/>
          <w:szCs w:val="28"/>
        </w:rPr>
        <w:t xml:space="preserve">1.1. Конкурс проектов по направлениям государственной молодёжной политики на территории  Великоустюгского округа в соответствии с муниципальной программой </w:t>
      </w:r>
      <w:r>
        <w:rPr>
          <w:color w:val="000000"/>
          <w:sz w:val="28"/>
          <w:szCs w:val="27"/>
        </w:rPr>
        <w:t>«Создание условий для развития потенциала великоустюгской молодёжи» на 2023-2027 годы».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8"/>
        </w:rPr>
        <w:t xml:space="preserve">1.2. Мероприятия и конференции в рамках повышения мастерства педагогических и руководящих работников образования в соответствии с </w:t>
      </w:r>
      <w:r>
        <w:rPr>
          <w:sz w:val="28"/>
          <w:szCs w:val="28"/>
        </w:rPr>
        <w:t>муниципальной программой «Развитие системы образования Великоустюгского муниципального округа на 2023-2027 годы».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Конкурс «Лучший староста» в соответствии с </w:t>
      </w:r>
      <w:r>
        <w:rPr>
          <w:color w:val="000000"/>
          <w:sz w:val="28"/>
          <w:szCs w:val="28"/>
        </w:rPr>
        <w:t>муниципальной программой «Совершенствование муниципального управления и основные направления кадровой политики в Великоустюгском муниципальном округе в 2023-2027 годах».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1.4. </w:t>
      </w:r>
      <w:r>
        <w:rPr>
          <w:sz w:val="28"/>
          <w:szCs w:val="28"/>
        </w:rPr>
        <w:t xml:space="preserve">Конкурс на звание «Лучший работник органов местного самоуправления Великоустюгского муниципального округа» в соответствии с </w:t>
      </w:r>
      <w:r>
        <w:rPr>
          <w:color w:val="000000"/>
          <w:sz w:val="28"/>
          <w:szCs w:val="28"/>
        </w:rPr>
        <w:t>муниципальной программой «Совершенствование муниципального управления и основные направления кадровой политики в Великоустюгском муниципальном округе в 2023-2027 годах».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>
        <w:rPr>
          <w:sz w:val="28"/>
          <w:szCs w:val="28"/>
        </w:rPr>
        <w:t>Конкурс «Великоустюгское подворье»</w:t>
      </w:r>
      <w:r>
        <w:rPr>
          <w:bCs/>
          <w:color w:val="000000"/>
          <w:sz w:val="28"/>
          <w:szCs w:val="28"/>
        </w:rPr>
        <w:t xml:space="preserve"> в соответствии с  муниципальной программой «Комплексное развитие сельских территорий Великоустюгского муниципального округа на 2023-2027 годы».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1.6. </w:t>
      </w:r>
      <w:r>
        <w:rPr>
          <w:sz w:val="28"/>
          <w:szCs w:val="28"/>
        </w:rPr>
        <w:t>Конкурс пахарей</w:t>
      </w:r>
      <w:r>
        <w:rPr>
          <w:bCs/>
          <w:color w:val="000000"/>
          <w:sz w:val="28"/>
          <w:szCs w:val="28"/>
        </w:rPr>
        <w:t xml:space="preserve"> в соответствии с  муниципальной программой «Комплексное развитие сельских территорий Великоустюгского муниципального округа на 2023-2027 годы».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1.7.</w:t>
      </w:r>
      <w:r>
        <w:rPr>
          <w:sz w:val="28"/>
          <w:szCs w:val="28"/>
        </w:rPr>
        <w:t xml:space="preserve"> Смотр-конкурс на лучшее хранение сельскохозяйственной техники в организациях АПК округа</w:t>
      </w:r>
      <w:r>
        <w:rPr>
          <w:bCs/>
          <w:color w:val="000000"/>
          <w:sz w:val="28"/>
          <w:szCs w:val="28"/>
        </w:rPr>
        <w:t xml:space="preserve"> в соответствии с  муниципальной программой «Комплексное развитие сельских территорий Великоустюгского муниципального округа на 2023-2027 годы».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1.8. </w:t>
      </w:r>
      <w:r>
        <w:rPr>
          <w:sz w:val="28"/>
          <w:szCs w:val="28"/>
        </w:rPr>
        <w:t>Конкурсы в рамках мероприятий «Прокопиевкая ярмарка» и «Никольская ярмарка»</w:t>
      </w:r>
      <w:r>
        <w:rPr>
          <w:color w:val="000000"/>
          <w:sz w:val="28"/>
          <w:szCs w:val="28"/>
        </w:rPr>
        <w:t xml:space="preserve"> в соответствии с муниципальной программой «Экономическое развитие Великоустюгского муниципального округа Вологодской области на 2023-2027 годы».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Конкурс профессионального мастерства работников торговли и общественного питания</w:t>
      </w:r>
      <w:r>
        <w:rPr>
          <w:color w:val="000000"/>
          <w:sz w:val="28"/>
          <w:szCs w:val="28"/>
        </w:rPr>
        <w:t xml:space="preserve"> в соответствии с муниципальной программой «Экономическое развитие Великоустюгского муниципального округа Вологодской области на 2023-2027 годы».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Конкурсы, направленные на популяризацию предпринимательской  деятельности,</w:t>
      </w:r>
      <w:r>
        <w:rPr>
          <w:color w:val="000000"/>
          <w:sz w:val="28"/>
          <w:szCs w:val="28"/>
        </w:rPr>
        <w:t xml:space="preserve"> в соответствии с муниципальной программой «Экономическое развитие Великоустюгского муниципального округа Вологодской области на 2023-2027 годы».</w:t>
      </w:r>
    </w:p>
    <w:p>
      <w:pPr>
        <w:pStyle w:val="Normal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2. </w:t>
      </w:r>
      <w:r>
        <w:rPr>
          <w:sz w:val="28"/>
          <w:szCs w:val="28"/>
        </w:rPr>
        <w:t>Настоящее решение вступает в силу</w:t>
      </w:r>
      <w:r>
        <w:rPr>
          <w:rFonts w:eastAsia="NSimSun"/>
          <w:sz w:val="28"/>
          <w:szCs w:val="28"/>
          <w:lang w:eastAsia="zh-CN"/>
        </w:rPr>
        <w:t xml:space="preserve"> после официального опубликования.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Председатель                                              Глава </w:t>
      </w:r>
      <w:r>
        <w:rPr>
          <w:sz w:val="28"/>
          <w:szCs w:val="28"/>
        </w:rPr>
        <w:t>Великоустюгского</w:t>
      </w:r>
    </w:p>
    <w:p>
      <w:pPr>
        <w:pStyle w:val="Normal"/>
        <w:rPr/>
      </w:pPr>
      <w:r>
        <w:rPr>
          <w:sz w:val="28"/>
          <w:szCs w:val="28"/>
        </w:rPr>
        <w:t xml:space="preserve">Великоустюгской Думы                            муниципального округа                         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 С.А. Капустин        __________________ И.А. Абрамов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Великоустюгской Думы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Великоустюгского муниципального округа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-78740</wp:posOffset>
                </wp:positionH>
                <wp:positionV relativeFrom="paragraph">
                  <wp:posOffset>80645</wp:posOffset>
                </wp:positionV>
                <wp:extent cx="1270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2pt,6.35pt" to="-6.2pt,6.3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перечне соревнований, конкурсов и иных мероприятий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участия в которых, получаемые налогоплательщиками </w:t>
      </w:r>
    </w:p>
    <w:p>
      <w:pPr>
        <w:pStyle w:val="Normal"/>
        <w:jc w:val="center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 xml:space="preserve">за счет средств бюджета округа гранты, премии, призы и (или) подарки </w:t>
      </w:r>
    </w:p>
    <w:p>
      <w:pPr>
        <w:pStyle w:val="Normal"/>
        <w:jc w:val="center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в денежной и (или) натуральной формах, не подлежат налогообложению налогом на доходы физических лиц</w:t>
      </w:r>
      <w:r>
        <w:rPr>
          <w:sz w:val="28"/>
          <w:szCs w:val="28"/>
        </w:rPr>
        <w:t>»</w:t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Федеральным законом от 14.11.2023 № 533-ФЗ внесены изменения в статью 217 части второй Налогового кодекса Российской Федерации. </w:t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В перечень доходов, не облагаемых НДФЛ включены, в том числе, доходы физических лиц в виде грантов, премий, призов и (или) подарков в денежной и (или) натуральной формах по результатам участия в соревнованиях, конкурсах, иных мероприятиях, перечень которых утвержден решением представительного органа муниципального образования, а также доходы в виде оплаты стоимости проезда к месту проведения таких соревнований, конкурсов, иных мероприятий и обратно, питания и предоставления помещения во временное пользование.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Проектом утверждается </w:t>
      </w:r>
      <w:r>
        <w:rPr>
          <w:sz w:val="28"/>
          <w:szCs w:val="28"/>
        </w:rPr>
        <w:t xml:space="preserve">перечень соревнований, конкурсов и иных мероприятий по результатам участия в которых, получаемые налогоплательщиками </w:t>
      </w:r>
      <w:r>
        <w:rPr>
          <w:rFonts w:eastAsia="NSimSun"/>
          <w:bCs/>
          <w:sz w:val="28"/>
          <w:szCs w:val="28"/>
          <w:lang w:eastAsia="zh-CN"/>
        </w:rPr>
        <w:t>за счет средств бюджета округа гранты, премии, призы и (или) подарки в денежной и (или) натуральной формах, не подлежат налогообложению налогом на доходы физических лиц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color w:val="000000"/>
          <w:spacing w:val="-4"/>
          <w:sz w:val="28"/>
          <w:szCs w:val="28"/>
        </w:rPr>
        <w:tab/>
      </w:r>
    </w:p>
    <w:p>
      <w:pPr>
        <w:pStyle w:val="Normal"/>
        <w:jc w:val="both"/>
        <w:rPr>
          <w:rFonts w:eastAsia="NSimSun"/>
          <w:sz w:val="26"/>
          <w:szCs w:val="26"/>
          <w:lang w:eastAsia="zh-CN"/>
        </w:rPr>
      </w:pPr>
      <w:r>
        <w:rPr>
          <w:rFonts w:eastAsia="NSimSun"/>
          <w:sz w:val="26"/>
          <w:szCs w:val="26"/>
          <w:lang w:eastAsia="zh-CN"/>
        </w:rPr>
      </w:r>
    </w:p>
    <w:p>
      <w:pPr>
        <w:pStyle w:val="Normal"/>
        <w:jc w:val="both"/>
        <w:rPr>
          <w:rFonts w:eastAsia="NSimSun"/>
          <w:sz w:val="26"/>
          <w:szCs w:val="26"/>
          <w:lang w:eastAsia="zh-CN"/>
        </w:rPr>
      </w:pPr>
      <w:r>
        <w:rPr>
          <w:rFonts w:eastAsia="NSimSun"/>
          <w:sz w:val="26"/>
          <w:szCs w:val="26"/>
          <w:lang w:eastAsia="zh-CN"/>
        </w:rPr>
      </w:r>
    </w:p>
    <w:p>
      <w:pPr>
        <w:pStyle w:val="Normal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701" w:right="851" w:header="567" w:top="1134" w:footer="0" w:bottom="1134" w:gutter="0"/>
      <w:pgNumType w:fmt="decimal"/>
      <w:formProt w:val="false"/>
      <w:titlePg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15940329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c72c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bidi="ar-SA" w:val="ru-RU"/>
    </w:rPr>
  </w:style>
  <w:style w:type="paragraph" w:styleId="1" w:customStyle="1">
    <w:name w:val="Heading 1"/>
    <w:basedOn w:val="Normal"/>
    <w:next w:val="Normal"/>
    <w:link w:val="1"/>
    <w:qFormat/>
    <w:rsid w:val="007f616f"/>
    <w:pPr>
      <w:keepNext w:val="true"/>
      <w:outlineLvl w:val="0"/>
    </w:pPr>
    <w:rPr>
      <w:sz w:val="24"/>
    </w:rPr>
  </w:style>
  <w:style w:type="paragraph" w:styleId="2" w:customStyle="1">
    <w:name w:val="Heading 2"/>
    <w:basedOn w:val="Normal"/>
    <w:next w:val="Normal"/>
    <w:qFormat/>
    <w:rsid w:val="007f616f"/>
    <w:pPr>
      <w:keepNext w:val="true"/>
      <w:outlineLvl w:val="1"/>
    </w:pPr>
    <w:rPr>
      <w:sz w:val="28"/>
    </w:rPr>
  </w:style>
  <w:style w:type="paragraph" w:styleId="3" w:customStyle="1">
    <w:name w:val="Heading 3"/>
    <w:basedOn w:val="Normal"/>
    <w:next w:val="Normal"/>
    <w:qFormat/>
    <w:rsid w:val="007f616f"/>
    <w:pPr>
      <w:keepNext w:val="true"/>
      <w:jc w:val="center"/>
      <w:outlineLvl w:val="2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uiPriority w:val="99"/>
    <w:qFormat/>
    <w:rsid w:val="00bc6b85"/>
    <w:rPr/>
  </w:style>
  <w:style w:type="character" w:styleId="Style12" w:customStyle="1">
    <w:name w:val="Нижний колонтитул Знак"/>
    <w:basedOn w:val="DefaultParagraphFont"/>
    <w:qFormat/>
    <w:rsid w:val="00bc6b85"/>
    <w:rPr/>
  </w:style>
  <w:style w:type="character" w:styleId="11" w:customStyle="1">
    <w:name w:val="Заголовок 1 Знак"/>
    <w:basedOn w:val="DefaultParagraphFont"/>
    <w:link w:val="Heading1"/>
    <w:qFormat/>
    <w:rsid w:val="000c7b71"/>
    <w:rPr>
      <w:sz w:val="24"/>
    </w:rPr>
  </w:style>
  <w:style w:type="character" w:styleId="21" w:customStyle="1">
    <w:name w:val="Основной текст 2 Знак1"/>
    <w:basedOn w:val="DefaultParagraphFont"/>
    <w:link w:val="2"/>
    <w:qFormat/>
    <w:rsid w:val="000c7b71"/>
    <w:rPr>
      <w:sz w:val="28"/>
    </w:rPr>
  </w:style>
  <w:style w:type="character" w:styleId="Style13" w:customStyle="1">
    <w:name w:val="Основной текст Знак"/>
    <w:basedOn w:val="DefaultParagraphFont"/>
    <w:qFormat/>
    <w:rsid w:val="000c7b71"/>
    <w:rPr>
      <w:sz w:val="28"/>
    </w:rPr>
  </w:style>
  <w:style w:type="character" w:styleId="22" w:customStyle="1">
    <w:name w:val="Основной текст 2 Знак"/>
    <w:basedOn w:val="DefaultParagraphFont"/>
    <w:link w:val="20"/>
    <w:qFormat/>
    <w:rsid w:val="000c7b71"/>
    <w:rPr/>
  </w:style>
  <w:style w:type="character" w:styleId="Style14" w:customStyle="1">
    <w:name w:val="Интернет-ссылка"/>
    <w:basedOn w:val="DefaultParagraphFont"/>
    <w:rsid w:val="00b97164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qFormat/>
    <w:rsid w:val="00560aee"/>
    <w:rPr>
      <w:rFonts w:ascii="Tahoma" w:hAnsi="Tahoma" w:cs="Tahoma"/>
      <w:sz w:val="16"/>
      <w:szCs w:val="16"/>
    </w:rPr>
  </w:style>
  <w:style w:type="character" w:styleId="12" w:customStyle="1">
    <w:name w:val="Верхний колонтитул Знак1"/>
    <w:basedOn w:val="DefaultParagraphFont"/>
    <w:link w:val="af0"/>
    <w:uiPriority w:val="99"/>
    <w:qFormat/>
    <w:rsid w:val="00605f1d"/>
    <w:rPr>
      <w:rFonts w:ascii="Times New Roman" w:hAnsi="Times New Roman" w:eastAsia="Times New Roman" w:cs="Times New Roman"/>
      <w:kern w:val="0"/>
      <w:sz w:val="20"/>
      <w:szCs w:val="20"/>
      <w:lang w:eastAsia="ru-RU" w:bidi="ar-SA"/>
    </w:rPr>
  </w:style>
  <w:style w:type="character" w:styleId="13" w:customStyle="1">
    <w:name w:val="Нижний колонтитул Знак1"/>
    <w:basedOn w:val="DefaultParagraphFont"/>
    <w:link w:val="af1"/>
    <w:qFormat/>
    <w:rsid w:val="00605f1d"/>
    <w:rPr>
      <w:rFonts w:ascii="Times New Roman" w:hAnsi="Times New Roman" w:eastAsia="Times New Roman" w:cs="Times New Roman"/>
      <w:kern w:val="0"/>
      <w:sz w:val="20"/>
      <w:szCs w:val="20"/>
      <w:lang w:eastAsia="ru-RU" w:bidi="ar-SA"/>
    </w:rPr>
  </w:style>
  <w:style w:type="paragraph" w:styleId="Style16" w:customStyle="1">
    <w:name w:val="Заголовок"/>
    <w:basedOn w:val="Normal"/>
    <w:next w:val="Style17"/>
    <w:qFormat/>
    <w:rsid w:val="009f0c6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7f616f"/>
    <w:pPr/>
    <w:rPr>
      <w:sz w:val="28"/>
    </w:rPr>
  </w:style>
  <w:style w:type="paragraph" w:styleId="Style18">
    <w:name w:val="List"/>
    <w:basedOn w:val="Style17"/>
    <w:rsid w:val="009f0c62"/>
    <w:pPr/>
    <w:rPr>
      <w:rFonts w:cs="Mangal"/>
    </w:rPr>
  </w:style>
  <w:style w:type="paragraph" w:styleId="Style19" w:customStyle="1">
    <w:name w:val="Caption"/>
    <w:basedOn w:val="Normal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rsid w:val="009f0c62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odyText2">
    <w:name w:val="Body Text 2"/>
    <w:basedOn w:val="Normal"/>
    <w:link w:val="21"/>
    <w:qFormat/>
    <w:rsid w:val="007f616f"/>
    <w:pPr>
      <w:spacing w:lineRule="auto" w:line="480" w:before="0" w:after="120"/>
    </w:pPr>
    <w:rPr/>
  </w:style>
  <w:style w:type="paragraph" w:styleId="Style21" w:customStyle="1">
    <w:name w:val="Верхний и нижний колонтитулы"/>
    <w:basedOn w:val="Normal"/>
    <w:qFormat/>
    <w:rsid w:val="009f0c62"/>
    <w:pPr/>
    <w:rPr/>
  </w:style>
  <w:style w:type="paragraph" w:styleId="Style22">
    <w:name w:val="Header"/>
    <w:basedOn w:val="Normal"/>
    <w:link w:val="10"/>
    <w:uiPriority w:val="99"/>
    <w:rsid w:val="00605f1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11"/>
    <w:rsid w:val="00605f1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0b064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560aee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4368f"/>
    <w:pPr>
      <w:spacing w:beforeAutospacing="1" w:afterAutospacing="1"/>
    </w:pPr>
    <w:rPr>
      <w:sz w:val="24"/>
      <w:szCs w:val="24"/>
    </w:rPr>
  </w:style>
  <w:style w:type="paragraph" w:styleId="Bodytextindent" w:customStyle="1">
    <w:name w:val="bodytextindent"/>
    <w:basedOn w:val="Normal"/>
    <w:qFormat/>
    <w:rsid w:val="0064368f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7f616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210E-053E-4205-97CD-CF9AD957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Application>LibreOffice/6.3.1.2$Windows_X86_64 LibreOffice_project/b79626edf0065ac373bd1df5c28bd630b4424273</Application>
  <Pages>4</Pages>
  <Words>564</Words>
  <Characters>4239</Characters>
  <CharactersWithSpaces>5049</CharactersWithSpaces>
  <Paragraphs>41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2019-11-28T11:51:00Z</dcterms:created>
  <dc:creator>АЛЕКСАНДР</dc:creator>
  <dc:description/>
  <dc:language>ru-RU</dc:language>
  <cp:lastModifiedBy/>
  <cp:lastPrinted>2024-02-20T08:02:00Z</cp:lastPrinted>
  <dcterms:modified xsi:type="dcterms:W3CDTF">2024-03-12T15:57:47Z</dcterms:modified>
  <cp:revision>72</cp:revision>
  <dc:subject/>
  <dc:title>"Лесной кодекс Российской Федерации" от 04.12.2006 N 200-ФЗ(ред. от 27.12.2018)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