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left="0" w:right="0" w:hanging="0"/>
        <w:rPr/>
      </w:pPr>
      <w:r>
        <w:rPr>
          <w:rFonts w:ascii="Tahoma" w:hAnsi="Tahoma"/>
          <w:sz w:val="20"/>
        </w:rPr>
        <w:t xml:space="preserve"> 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АДМИНИСТРАЦИЯ ВЕЛИКОУСТЮГСКОГО МУНИЦИПАЛЬНОГО ОКРУГА</w:t>
      </w:r>
    </w:p>
    <w:p>
      <w:pPr>
        <w:pStyle w:val="ConsPlusNormal"/>
        <w:ind w:left="0" w:right="0" w:hanging="0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ПОСТАНОВЛЕНИЕ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от 3 апреля 2023 г. N 807</w:t>
      </w:r>
    </w:p>
    <w:p>
      <w:pPr>
        <w:pStyle w:val="ConsPlusNormal"/>
        <w:ind w:left="0" w:right="0" w:hanging="0"/>
        <w:jc w:val="both"/>
        <w:rPr>
          <w:rFonts w:ascii="Tinos" w:hAnsi="Tinos"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ОБ ОРГАНИЗАЦИИ СИСТЕМЫ ВНУТРЕННЕГО ОБЕСПЕЧЕНИЯ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СООТВЕТСТВИЯ ТРЕБОВАНИЯМ АНТИМОНОПОЛЬНОГО ЗАКОНОДАТЕЛЬСТВА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В АДМИНИСТРАЦИИ ВЕЛИКОУСТЮГСКОГО МУНИЦИПАЛЬНОГО ОКРУГА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В соответствии с Федеральным </w:t>
      </w:r>
      <w:hyperlink r:id="rId2">
        <w:r>
          <w:rPr>
            <w:rFonts w:ascii="Tinos" w:hAnsi="Tinos"/>
            <w:color w:val="0000FF"/>
            <w:sz w:val="28"/>
            <w:szCs w:val="28"/>
          </w:rPr>
          <w:t>законом</w:t>
        </w:r>
      </w:hyperlink>
      <w:r>
        <w:rPr>
          <w:rFonts w:ascii="Tinos" w:hAnsi="Tinos"/>
          <w:sz w:val="28"/>
          <w:szCs w:val="28"/>
        </w:rPr>
        <w:t xml:space="preserve"> от 26.07.2006 N 135-ФЗ "О защите конкуренции", </w:t>
      </w:r>
      <w:hyperlink r:id="rId3">
        <w:r>
          <w:rPr>
            <w:rFonts w:ascii="Tinos" w:hAnsi="Tinos"/>
            <w:color w:val="0000FF"/>
            <w:sz w:val="28"/>
            <w:szCs w:val="28"/>
          </w:rPr>
          <w:t>Указом</w:t>
        </w:r>
      </w:hyperlink>
      <w:r>
        <w:rPr>
          <w:rFonts w:ascii="Tinos" w:hAnsi="Tinos"/>
          <w:sz w:val="28"/>
          <w:szCs w:val="28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конкуренции", </w:t>
      </w:r>
      <w:hyperlink r:id="rId4">
        <w:r>
          <w:rPr>
            <w:rFonts w:ascii="Tinos" w:hAnsi="Tinos"/>
            <w:color w:val="0000FF"/>
            <w:sz w:val="28"/>
            <w:szCs w:val="28"/>
          </w:rPr>
          <w:t>распоряжением</w:t>
        </w:r>
      </w:hyperlink>
      <w:r>
        <w:rPr>
          <w:rFonts w:ascii="Tinos" w:hAnsi="Tinos"/>
          <w:sz w:val="28"/>
          <w:szCs w:val="28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5">
        <w:r>
          <w:rPr>
            <w:rFonts w:ascii="Tinos" w:hAnsi="Tinos"/>
            <w:color w:val="0000FF"/>
            <w:sz w:val="28"/>
            <w:szCs w:val="28"/>
          </w:rPr>
          <w:t>статьей 38</w:t>
        </w:r>
      </w:hyperlink>
      <w:r>
        <w:rPr>
          <w:rFonts w:ascii="Tinos" w:hAnsi="Tinos"/>
          <w:sz w:val="28"/>
          <w:szCs w:val="28"/>
        </w:rPr>
        <w:t xml:space="preserve"> Устава Великоустюгского муниципального округа, постановляю: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1. Создать в администрации Великоустюгского муниципального округа систему внутреннего обеспечения соответствия требованиям антимонопольного законодательства (антимонопольный комплаенс) в соответствии с </w:t>
      </w:r>
      <w:hyperlink w:anchor="Par29">
        <w:r>
          <w:rPr>
            <w:rFonts w:ascii="Tinos" w:hAnsi="Tinos"/>
            <w:color w:val="0000FF"/>
            <w:sz w:val="28"/>
            <w:szCs w:val="28"/>
          </w:rPr>
          <w:t>Положением</w:t>
        </w:r>
      </w:hyperlink>
      <w:r>
        <w:rPr>
          <w:rFonts w:ascii="Tinos" w:hAnsi="Tinos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законодательства, согласно приложению к настоящему постановлению.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2. Признать утратившим силу постановление администрации Великоустюгского муниципального района от 29.04.2019 N 601 "О системе внутреннего обеспечения соответствия деятельности администрации Великоустюгского муниципального района требованиям антимонопольного законодательства".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органов местного самоуправления Великоустюгского муниципального округа в информационно-телекоммуникационной сети Интернет.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Глава Великоустюгского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муниципального округа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А.В.КУЗЬМИН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Приложение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к Постановлению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Администрации Великоустюгского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муниципального округа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от 3 апреля 2023 г. N 807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bookmarkStart w:id="0" w:name="Par29"/>
      <w:bookmarkEnd w:id="0"/>
      <w:r>
        <w:rPr>
          <w:rFonts w:ascii="Tinos" w:hAnsi="Tinos"/>
          <w:b/>
          <w:sz w:val="28"/>
          <w:szCs w:val="28"/>
        </w:rPr>
        <w:t>ПОЛОЖЕНИЕ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ОБ ОРГАНИЗАЦИИ СИСТЕМЫ ВНУТРЕННЕГО ОБЕСПЕЧЕНИЯ СООТВЕТСТВИЯ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ТРЕБОВАНИЯМ АНТИМОНОПОЛЬНОГО ЗАКОНОДАТЕЛЬСТВА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(АНТИМОНОПОЛЬНЫЙ КОМПЛАЕНС)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1. Общие положения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1.1. Настоящее Положение об организации системы внутреннего обеспечения соответствия требованиям антимонопольного законодательства в администрации Великоустюгского муниципального округа (далее - администрация округа, антимонопольный комплаенс) разработано в целях обеспечения соответствия деятельности администрации округа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1.2.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в том числе </w:t>
      </w:r>
      <w:hyperlink r:id="rId6">
        <w:r>
          <w:rPr>
            <w:rFonts w:ascii="Tinos" w:hAnsi="Tinos"/>
            <w:color w:val="0000FF"/>
            <w:sz w:val="28"/>
            <w:szCs w:val="28"/>
          </w:rPr>
          <w:t>распоряжением</w:t>
        </w:r>
      </w:hyperlink>
      <w:r>
        <w:rPr>
          <w:rFonts w:ascii="Tinos" w:hAnsi="Tinos"/>
          <w:sz w:val="28"/>
          <w:szCs w:val="28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2. Цели, задачи и принципы антимонопольного комплаенса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2.1. Целями антимонопольного комплаенса являются: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обеспечение соответствия деятельности администрации округа требованиям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2.2. Задачами антимонопольного комплаенса являются: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выявление рисков нарушений антимонопольного законодательства (далее - комплаенс-риски);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управление комплаенс-рисками;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контроль за соответствием деятельности администрации округа требованиям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оценка эффективности организации антимонопольного комплаенса.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2.3. При организации антимонопольного комплаенса администрация округа руководствуется следующими принципами: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заинтересованность руководства администрации округа в эффективности функционирования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регулярность оценки комплаенс-рисков;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обеспечение информационной открытости функционирования в администрации округа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непрерывность функционирования антимонопольного комплаенса в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д) совершенствование антимонопольного комплаенса.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3. Организация антимонопольного комплаенса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3.1. Общий контроль организации антимонопольного комплаенса и обеспечения его функционирования осуществляется главой Великоустюгского муниципального округа (далее - глава округа), который: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и работниками замещающими должность, не относящуюся к муниципальной службе (далее - служащие) правил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осуществляет контроль за устранением выявленных недостатков антимонопольного комплаенса.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3.2. Функции уполномоченного органа, связанные с организацией и функционированием антимонопольного комплаенса, осуществляются управлением экономического развития администрации Великоустюгского муниципального округа (далее - управление экономического развития).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К компетенции управлением экономического развития относятся следующие функции: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подготовка и представление главе округа проектов правовых актов об антимонопольном комплаенсе (внесение изменений в правовые акты об антимонопольном комплаенсе);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разработка процедуры внутреннего расследования, связанного с функционированием антимонопольного комплаенса, которая утверждается распоряжением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организация взаимодействия с отраслевыми (функциональными), территориальными органами, структурными подразделениями администрации Великоустюгского муниципального округа по вопросам, связанным с антимонопольным комплаенсом;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консультирование служащих отраслевых (функциональных), территориальных органов, структурных подразделений администрации Великоустюгского муниципального округа по вопросам, связанным с соблюдением антимонопольного законодательства и антимонопольным комплаенсом.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3.3. Функции коллегиального органа, осуществляющего оценку эффективности организации и функционирования антимонопольного комплаенса возлагаются на Комиссию по оценке эффективности функционирования антимонопольного комплаенса в администрации Великоустюгского муниципального округа (далее - Коллегиальный орган), состав которой утверждается распоряжением администрации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3.4. К компетенции руководителей отраслевых (функциональных), территориальных органов, структурных подразделений администрации Великоустюгского муниципального округа относятся следующие функции: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информирование главы округа о внутренних документах, которые могут повлечь нарушение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иные функции, связанные с функционированием антимонопольного комплаенса.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3.5. Управление делами администрации Великоустюгского муниципального округа осуществляет функцию по выявлению конфликта интересов в деятельности служащих отраслевых (функциональных), территориальных органов, структурных подразделений администрации Великоустюгского муниципального округа, разрабатывает предложения по их исключению.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3.6. К функциям Коллегиального органа относятся: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организация внутренних расследований, связанных с функционированием антимонопольного комплаенса, и участие в них;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рассмотрение и оценка плана мероприятий по снижению комплаенс-рисков администрации округа в части, касающейся функционирования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рассмотрение и утверждение доклада об антимонопольном комплаенсе.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4. Выявление и оценка комплаенс-рисков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4.1. В целях выявления рисков нарушения антимонопольного законодательства руководителями отраслевых (функциональных), территориальных органов, структурных подразделений администрации округа на регулярной основе проводятся: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анализ выявленных нарушений антимонопольного законодательства в деятельности отраслевого (функционального), территориального органа, структурного подразделения администрации округа за предыдущие 3 года (наличие предостережений, предупреждений, штрафов, жалоб, возбужденных дел);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анализ нормативных правовых актов отраслевых (функциональных), территориальных органов, структурных подразделений администрации округа, регулирующих правоотношения входящие в сферу функционирования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анализ проектов нормативных правовых актов Великоустюгского муниципального округа, регулирующих правоотношения, входящие в сферу функционирования антимонопольного комплаенса;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мониторинг и анализ практики применения отраслевыми (функциональными), территориальными органами, структурными подразделениями администрации округа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4.2. При проведении (не реже одного раза в год) руководителями отраслевых (функциональных), территориальных органов, структурных подразделений администрации округа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управлением экономического развития реализовываются следующие мероприятия: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сбор в отраслевых (функциональных), территориальных органах, структурных подразделениях администрации округа сведений о наличии нарушений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составление перечня нарушений антимонопольного законодательства, который содержит классифицированные по сферам деятельности отраслевых (функциональных), территориальных органов, структурных подразделений администрации округа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отраслевым (функциональным), территориальным органом, структурным подразделением администрации округа на недопущение повторения нарушения.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4.3. При проведении (не реже одного раза в год) анализа нормативных правовых актов руководителями отраслевых (функциональных), территориальных органов, структурных подразделений администрации округа, регулирующих правоотношения входящие в сферу функционирования антимонопольного комплаенса реализуются следующие мероприятия: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4.3.1. управлением экономического развития: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размещение на официальном сайте Великоустюгского муниципального округа в информационно-телекоммуникационной сети Интернет перечня нормативных правовых актов Великоустюгского муниципального округа, регулирующих в том числе правоотношения, входящие в сферу функционирования антимонопольного комплаенса (далее - перечень актов) с приложением к перечню актов текстов таких актов, за исключением актов, содержащих сведения, относящейся к охраняемой законом тайне;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б) размещение на официальном сайте Великоустюгского муниципального округа в информационно-телекоммуникационной сети Интернет </w:t>
      </w:r>
      <w:hyperlink w:anchor="Par159">
        <w:r>
          <w:rPr>
            <w:rFonts w:ascii="Tinos" w:hAnsi="Tinos"/>
            <w:color w:val="0000FF"/>
            <w:sz w:val="28"/>
            <w:szCs w:val="28"/>
          </w:rPr>
          <w:t>уведомления</w:t>
        </w:r>
      </w:hyperlink>
      <w:r>
        <w:rPr>
          <w:rFonts w:ascii="Tinos" w:hAnsi="Tinos"/>
          <w:sz w:val="28"/>
          <w:szCs w:val="28"/>
        </w:rPr>
        <w:t xml:space="preserve"> о начале сбора замечаний и предложений организаций и граждан по перечню актов по форме согласно приложению N 1 к настоящему Положению;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представление главе округа сводного доклада с обоснованием целесообразности (нецелесообразности) внесения изменений в нормативные правовые акты Великоустюгского муниципального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4.4. При проведении анализа проектов нормативных правовых актов Великоустюгского муниципального округа, регулирующих правоотношения, входящие в сферу функционирования антимонопольного комплаенса реализуются следующие мероприятия: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4.4.1. управлением делами администрации Великоустюгского муниципального округа размещаются на официальном сайте Великоустюгского муниципального округа в информационно-телекоммуникационной сети "Интернет" проекты муниципальных правовых актов, обладающих признаками нормативного правового акта на предмет соответствия его антимонопольному законодательству;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4.4.2. управлением экономического развития осуществляется сбор и проведение оценки поступивших от организаций и граждан замечаний и предложений по проекту муниципального нормативного правового акта.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4.5. При выявлении рисков нарушения антимонопольного законодательства управлением экономического развития проводится оценка таких рисков с учетом следующих показателей (далее - оценка рисков):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 округа по развитию конкуренции;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возбуждение дела о нарушении антимонопольного законодательства;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4.6. Выявляемые риски нарушения антимонопольного законодательства распределяются по уровням: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 округа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Незначительный уровень - вероятность выдачи администрации округа предупреждения.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Существенный уровень - вероятность выдачи администрации округа предупреждения и возбуждения в отношении него дела о нарушении антимонопольного законодательства.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Высокий уровень - вероятность выдачи администрации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4.7. На основе проведенной оценки рисков нарушения антимонопольного законодательства управлением экономического развития составляется описание рисков - </w:t>
      </w:r>
      <w:hyperlink w:anchor="Par177">
        <w:r>
          <w:rPr>
            <w:rFonts w:ascii="Tinos" w:hAnsi="Tinos"/>
            <w:color w:val="0000FF"/>
            <w:sz w:val="28"/>
            <w:szCs w:val="28"/>
          </w:rPr>
          <w:t>карта</w:t>
        </w:r>
      </w:hyperlink>
      <w:r>
        <w:rPr>
          <w:rFonts w:ascii="Tinos" w:hAnsi="Tinos"/>
          <w:sz w:val="28"/>
          <w:szCs w:val="28"/>
        </w:rPr>
        <w:t xml:space="preserve"> рисков нарушения антимонопольного законодательства Российской Федерации (комплаенс-рисков) администрации Великоустюгского муниципального округа (далее - карта комплаенс-рисков) по форме согласно приложению N 2 к настоящему Положению.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Карта комплаенс-рисков представляется на утверждение главе округа не позднее 1 февраля текущего года, после утверждения размещается на официальном сайте Великоустюгского муниципального округа в информационно-телекоммуникационной сети Интернет.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4.8.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4.9. При поступлении на муниципальную службу, а также при приеме на работу в администрацию округа, отраслевые (функциональные), территориальные органы администрации Великоустюгского муниципального округа на должность, не относящуюся к муниципальной службе, гражданин Российской Федерации должен быть ознакомлен с настоящим Положением соответственно управлением делами и руководителями отраслевых (функциональных), территориальных органов администрации Великоустюгского муниципального округа.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5. Мероприятия по снижению рисков нарушения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антимонопольного законодательства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5.1. В целях снижения рисков нарушения антимонопольного законодательства управлением экономического развития на основе карты комплаенс-рисков администрации округа разрабатывается </w:t>
      </w:r>
      <w:hyperlink w:anchor="Par203">
        <w:r>
          <w:rPr>
            <w:rFonts w:ascii="Tinos" w:hAnsi="Tinos"/>
            <w:color w:val="0000FF"/>
            <w:sz w:val="28"/>
            <w:szCs w:val="28"/>
          </w:rPr>
          <w:t>план</w:t>
        </w:r>
      </w:hyperlink>
      <w:r>
        <w:rPr>
          <w:rFonts w:ascii="Tinos" w:hAnsi="Tinos"/>
          <w:sz w:val="28"/>
          <w:szCs w:val="28"/>
        </w:rPr>
        <w:t xml:space="preserve"> мероприятий по снижению комплаенс-рисков в администрации Великоустюгского муниципального округа (далее - план) по форме согласно приложению N 3 к настоящему Положению.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5.2. План разрабатывается ежегодно в течение месяца с момента утверждения карты комплаенс-рисков и утверждается распоряжением администрации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5.3. Руководители отраслевых (функциональных), территориальных органов, структурных подразделений администрации Великоустюгского муниципального округа на постоянной основе осуществляют мониторинг исполнения плана и представляют в управление экономического развития информацию о реализации мероприятий относящихся к деятельности отраслевого (функционального), территориального органа, структурного подразделения администрации Великоустюгского муниципального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5.4.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6. Ключевые показатели эффективности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антимонопольного комплаенса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6.2. Ключевые показатели эффективности антимонопольного комплаенса устанавливаются для администрации округа в целом.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 xml:space="preserve">6.4. </w:t>
      </w:r>
      <w:hyperlink w:anchor="Par229">
        <w:r>
          <w:rPr>
            <w:rFonts w:ascii="Tinos" w:hAnsi="Tinos"/>
            <w:color w:val="0000FF"/>
            <w:sz w:val="28"/>
            <w:szCs w:val="28"/>
          </w:rPr>
          <w:t>Методика</w:t>
        </w:r>
      </w:hyperlink>
      <w:r>
        <w:rPr>
          <w:rFonts w:ascii="Tinos" w:hAnsi="Tinos"/>
          <w:sz w:val="28"/>
          <w:szCs w:val="28"/>
        </w:rPr>
        <w:t xml:space="preserve"> расчета ключевых показателей эффективности функционирования в администрации округа антимонопольного комплаенса разрабатывается управлением экономического развития и утверждается главой округа на отчетный период ежегодно в срок не позднее 1 февраля отчетного года по форме согласно приложению N 4 к настоящему Положению.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6.5. Управление экономического развития ежегодно проводит оценку достижения ключевых показателей эффективности антимонопольного комплаенса.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6.6.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7. Оценка эффективности антимонопольного комплаенса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7.1. Оценка эффективности организации и функционирования в администрации округа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7.2. 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об антимонопольном комплаенсе, а также: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карту комплаенс-рисков администрации округа, утвержденную распоряжением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ключевые показатели эффективности антимонопольного комплаенса, утвержденные распоряжением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план мероприятий по снижению комплаенс-рисков в администрации округа, утвержденный распоряжением администрации округа.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8. Доклад об антимонопольном комплаенсе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8.1. Доклад об антимонопольном комплаенсе должен содержать следующую информацию: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а) о результатах проведенной оценки комплаенс-рисков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б) об исполнении мероприятий по снижению комплаенс-рисков администрации округа;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8.2. Подготовка доклада об антимонопольном комплаенсе осуществляется управлением экономического развития, с учетом информации предоставленной отраслевыми (функциональными), территориальными органами, структурными подразделениями администрации Великоустюгского муниципального округа. Доклад об антимонопольном комплаенсе представляется экономическим управлением в Коллегиальный орган на утверждение (ежегодно).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7.3. Доклад об антимонопольном комплаенсе, утвержденный Коллегиальным органом, размещается на официальном сайте Великоустюгского муниципального округа в информационно-телекоммуникационной сети Интернет в течение месяца с момента его утверждения, а также направляется администрацией Великоустюгского муниципального округа в Комитет по регулированию контрактной системы Вологодской области в срок до 1 февраля года, следующего за отчетным.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Приложение N 1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к Положению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Форма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bookmarkStart w:id="1" w:name="Par159"/>
      <w:bookmarkEnd w:id="1"/>
      <w:r>
        <w:rPr>
          <w:rFonts w:ascii="Tinos" w:hAnsi="Tinos"/>
          <w:sz w:val="28"/>
          <w:szCs w:val="28"/>
        </w:rPr>
        <w:t>УВЕДОМЛЕНИЕ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о начале сбора замечаний и предложений организаций и граждан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в отношении перечня нормативных правовых актов администрации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Великоустюгского муниципального округа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Настоящим администрация Великоустюгского муниципального округа (далее - администрация округа) уведомляют о начале сбора замечаний и предложений организаций и граждан в отношении проектов муниципальных правовых актов администрации округа, обладающих признаками нормативного правового акта, на предмет соответствия их антимонопольному законодательству.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Полный текст проектов нормативных правовых актов администрации округа опубликован на официальном сайте Великоустюгского муниципального округа в информационно-телекоммуникационной сети Интернет: https://35velikoustugskij.gosuslugi.ru.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Предложения и замечания принимаются с 00.00. по 00.00 соответствующего года по адресу: ________________________, а также по адресу электронной почты: _____________.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Приложение N 2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к Положению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Форма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bookmarkStart w:id="2" w:name="Par177"/>
      <w:bookmarkEnd w:id="2"/>
      <w:r>
        <w:rPr>
          <w:rFonts w:ascii="Tinos" w:hAnsi="Tinos"/>
          <w:sz w:val="28"/>
          <w:szCs w:val="28"/>
        </w:rPr>
        <w:t>КАРТА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рисков нарушений антимонопольного законодательства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Российской Федерации (комплаенс - рисков) администрации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Великоустюгского муниципального округа на 2023 год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tbl>
      <w:tblPr>
        <w:tblW w:w="986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150"/>
        <w:gridCol w:w="2669"/>
        <w:gridCol w:w="2661"/>
        <w:gridCol w:w="1591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N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Уровень риска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Описание выявленных рисков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Описание причины и условия возникновения рисков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Вероятность повторения риска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5</w:t>
            </w:r>
          </w:p>
        </w:tc>
      </w:tr>
    </w:tbl>
    <w:p>
      <w:pPr>
        <w:pStyle w:val="ConsPlusNormal"/>
        <w:widowControl w:val="false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Приложение N 3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к Положению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Форма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bookmarkStart w:id="3" w:name="Par203"/>
      <w:bookmarkEnd w:id="3"/>
      <w:r>
        <w:rPr>
          <w:rFonts w:ascii="Tinos" w:hAnsi="Tinos"/>
          <w:sz w:val="28"/>
          <w:szCs w:val="28"/>
        </w:rPr>
        <w:t>ПЛАН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мероприятий ("дорожная карта") по снижению рисков нарушения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антимонопольного законодательства в администрации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sz w:val="28"/>
          <w:szCs w:val="28"/>
        </w:rPr>
        <w:t>Великоустюгского муниципального района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3" w:right="566" w:gutter="0" w:header="0" w:top="1440" w:footer="0" w:bottom="144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3" w:right="566" w:gutter="0" w:header="0" w:top="1440" w:footer="0" w:bottom="1440"/>
          <w:formProt w:val="false"/>
          <w:textDirection w:val="lrTb"/>
          <w:docGrid w:type="default" w:linePitch="312" w:charSpace="4294961151"/>
        </w:sectPr>
      </w:pPr>
    </w:p>
    <w:tbl>
      <w:tblPr>
        <w:tblW w:w="10769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"/>
        <w:gridCol w:w="1872"/>
        <w:gridCol w:w="2381"/>
        <w:gridCol w:w="2268"/>
        <w:gridCol w:w="1644"/>
        <w:gridCol w:w="1812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N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Комплаенс-риск (описание)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Распределение ответственности и полномочий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Планируемый результат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Критерии эффективности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6</w:t>
            </w:r>
          </w:p>
        </w:tc>
      </w:tr>
    </w:tbl>
    <w:p>
      <w:pPr>
        <w:sectPr>
          <w:type w:val="continuous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ConsPlusNormal"/>
        <w:widowControl w:val="false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Приложение N 4</w:t>
      </w:r>
    </w:p>
    <w:p>
      <w:pPr>
        <w:pStyle w:val="ConsPlusNormal"/>
        <w:ind w:left="0" w:right="0" w:hanging="0"/>
        <w:jc w:val="right"/>
        <w:rPr/>
      </w:pPr>
      <w:r>
        <w:rPr>
          <w:rFonts w:ascii="Tinos" w:hAnsi="Tinos"/>
          <w:sz w:val="28"/>
          <w:szCs w:val="28"/>
        </w:rPr>
        <w:t>к Положению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bookmarkStart w:id="4" w:name="Par229"/>
      <w:bookmarkEnd w:id="4"/>
      <w:r>
        <w:rPr>
          <w:rFonts w:ascii="Tinos" w:hAnsi="Tinos"/>
          <w:b/>
          <w:sz w:val="28"/>
          <w:szCs w:val="28"/>
        </w:rPr>
        <w:t>МЕТОДИКА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РАСЧЕТА КЛЮЧЕВЫХ ПОКАЗАТЕЛЕЙ ЭФФЕКТИВНОСТИ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ФУНКЦИОНИРОВАНИЯ АНТИМОНОПОЛЬНОГО КОМПЛАЕНСА</w:t>
      </w:r>
    </w:p>
    <w:p>
      <w:pPr>
        <w:pStyle w:val="ConsPlusNormal"/>
        <w:ind w:left="0" w:right="0" w:hanging="0"/>
        <w:jc w:val="center"/>
        <w:rPr/>
      </w:pPr>
      <w:r>
        <w:rPr>
          <w:rFonts w:ascii="Tinos" w:hAnsi="Tinos"/>
          <w:b/>
          <w:sz w:val="28"/>
          <w:szCs w:val="28"/>
        </w:rPr>
        <w:t>В АДМИНИСТРАЦИИ ВЕЛИКОУСТЮГСКОГО МУНИЦИПАЛЬНОГО ОКРУГА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 Великоустюгского муниципального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2. Ключевым показателям эффективности функционирования антимонопольного комплаенса присвоен удельный вес - баллы, общая сумма - 100 баллов.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3. Расчет ключевых показателей эффективности функционирования антимонопольного комплаенса производится путем суммирования полученных баллов при оценке эффективности функционирования антимонопольного комплаенса в администрации Великоустюгского муниципального округа.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4. В зависимости от набранной суммы баллов оценка эффективности антимонопольного комплаенса определяется: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высокая эффективность - от 75 до 100 баллов;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средняя эффективность - от 50 до 74 баллов;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низкая эффективность - от 21 до 49 баллов;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неэффективно - ниже 20 баллов.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ascii="Tinos" w:hAnsi="Tinos"/>
          <w:sz w:val="28"/>
          <w:szCs w:val="28"/>
        </w:rPr>
        <w:t>5. Перечень ключевых показателей эффективности функционирования антимонопольного комплаенса на 20___ год:</w:t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tbl>
      <w:tblPr>
        <w:tblW w:w="1448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76"/>
        <w:gridCol w:w="7653"/>
        <w:gridCol w:w="3229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N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Наименование ключевого показателя эффективности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Формула расчета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Значение ключевого показателя эффективности, балл на 20__ год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ascii="Tinos" w:hAnsi="Tinos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Доля нормативных правовых актов, принятых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975360" cy="27241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Днпа - доля нормативных правовых актов, принятых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Кнпа - количество нормативных правовых актов, принятых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 (в отчетном периоде);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Кноп - количество нормативных правовых актов, принятых по вопросам компетенции администрации Великоустюгского муниципального округа,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30 баллов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--------------------------------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&lt;*&gt; если Днпа &gt;= 1, то присваивается 30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Днпа &gt;= 0.5 и &lt; 1, то присваивается 15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Днпа &lt; 0.5 и 0, то присваивается 0 баллов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Доля проектов муниципальных нормативных правовых актов, принимаемых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975360" cy="27241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Дпнпа - доля проектов нормативных правовых актов, принимаемых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Кпнпа - количество проектов нормативных правовых актов, принимаемых по вопросам компетенции администрации Великоустюгского муниципального округа, в которых выявлены риски нарушения антимонопольного законодательства (в отчетном периоде);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Кноп - количество нормативных правовых актов, принимаемых по вопросам компетенции администрации Великоустюгского муниципального округа, в которых выявлены нарушения антимонопольного законодательства (в отчетном периоде)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40 баллов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--------------------------------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&lt;*&gt; если Днпа &gt;= 1, то присваивается 40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Днпа &gt;= 0.5 и &lt; 1, то присваивается 20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Днпа &lt; 0.5 и 0, то присваивается 0 баллов</w:t>
            </w:r>
          </w:p>
        </w:tc>
      </w:tr>
    </w:tbl>
    <w:tbl>
      <w:tblPr>
        <w:tblW w:w="1448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76"/>
        <w:gridCol w:w="7653"/>
        <w:gridCol w:w="3229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Факт выдачи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признанных незаконными вступившим в законную силу судебным актом)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30 баллов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--------------------------------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&lt;*&gt; если отсутствует факт, то присваивается 30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имеется 1 факт, то присваивается 15 баллов;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>
                <w:rFonts w:ascii="Tinos" w:hAnsi="Tinos"/>
                <w:sz w:val="28"/>
                <w:szCs w:val="28"/>
              </w:rPr>
              <w:t>если имеется больше 1 факта, то присваивается 0 баллов</w:t>
            </w:r>
          </w:p>
        </w:tc>
      </w:tr>
    </w:tbl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rPr>
          <w:rFonts w:ascii="Arial" w:hAnsi="Arial" w:eastAsia="Arial" w:cs="Courier New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eastAsia="Arial" w:cs="Courier New"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sectPr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Arial" w:hAnsi="Arial" w:eastAsia="Arial" w:cs="Courier New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eastAsia="Arial" w:cs="Courier New" w:ascii="Arial" w:hAnsi="Arial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40499" TargetMode="External"/><Relationship Id="rId3" Type="http://schemas.openxmlformats.org/officeDocument/2006/relationships/hyperlink" Target="https://login.consultant.ru/link/?req=doc&amp;base=LAW&amp;n=285796&amp;dst=100057" TargetMode="External"/><Relationship Id="rId4" Type="http://schemas.openxmlformats.org/officeDocument/2006/relationships/hyperlink" Target="https://login.consultant.ru/link/?req=doc&amp;base=LAW&amp;n=309384&amp;dst=100008" TargetMode="External"/><Relationship Id="rId5" Type="http://schemas.openxmlformats.org/officeDocument/2006/relationships/hyperlink" Target="https://login.consultant.ru/link/?req=doc&amp;base=RLAW095&amp;n=222490&amp;dst=100693" TargetMode="External"/><Relationship Id="rId6" Type="http://schemas.openxmlformats.org/officeDocument/2006/relationships/hyperlink" Target="https://login.consultant.ru/link/?req=doc&amp;base=LAW&amp;n=309384&amp;dst=100011" TargetMode="Externa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LibreOffice/7.5.3.2$Linux_X86_64 LibreOffice_project/50$Build-2</Application>
  <AppVersion>15.0000</AppVersion>
  <Pages>17</Pages>
  <Words>2716</Words>
  <Characters>23083</Characters>
  <CharactersWithSpaces>25579</CharactersWithSpaces>
  <Paragraphs>224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2023-12-18T15:56:00Z</dcterms:created>
  <dc:creator/>
  <dc:description/>
  <dc:language>ru-RU</dc:language>
  <cp:lastModifiedBy/>
  <dcterms:modified xsi:type="dcterms:W3CDTF">2023-12-20T14:26:00Z</dcterms:modified>
  <cp:revision>0</cp:revision>
  <dc:subject/>
  <dc:title>Постановление Администрации Великоустюгского муниципального округа от 03.04.2023 N 807"Об организации системы внутреннего обеспечения соответствия требованиям антимонопольного законодательства в администрации Великоустюгского муниципального округа"(вместе с "Положением об организации системы внутреннего обеспечения соответствия требованиям антимонопольного законодательства (антимонопольный комплаенс)", "Методикой расчета ключевых показателей эффективности функционирования антимонопольного комплаенса в Адм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