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ind w:left="785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rPr/>
      </w:pPr>
      <w:r>
        <mc:AlternateContent>
          <mc:Choice Requires="wps">
            <w:drawing>
              <wp:anchor behindDoc="0" distT="88900" distB="100330" distL="202565" distR="205740" simplePos="0" locked="0" layoutInCell="0" allowOverlap="1" relativeHeight="7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7920" cy="1275080"/>
                <wp:effectExtent l="0" t="0" r="0" b="0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0" cy="127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районе,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ноябре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2022 года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>ноябре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</w:t>
      </w:r>
      <w:r>
        <w:rPr>
          <w:rFonts w:cs="Times New Roman" w:ascii="Times New Roman" w:hAnsi="Times New Roman"/>
          <w:sz w:val="26"/>
          <w:szCs w:val="26"/>
        </w:rPr>
        <w:t>5224,8</w:t>
      </w:r>
      <w:r>
        <w:rPr>
          <w:rFonts w:cs="Times New Roman" w:ascii="Times New Roman" w:hAnsi="Times New Roman"/>
          <w:sz w:val="26"/>
          <w:szCs w:val="26"/>
        </w:rPr>
        <w:t xml:space="preserve"> млн. руб. (</w:t>
      </w:r>
      <w:r>
        <w:rPr>
          <w:rFonts w:cs="Times New Roman" w:ascii="Times New Roman" w:hAnsi="Times New Roman"/>
          <w:sz w:val="26"/>
          <w:szCs w:val="26"/>
        </w:rPr>
        <w:t>71,8</w:t>
      </w:r>
      <w:r>
        <w:rPr>
          <w:rFonts w:cs="Times New Roman" w:ascii="Times New Roman" w:hAnsi="Times New Roman"/>
          <w:sz w:val="26"/>
          <w:szCs w:val="26"/>
        </w:rPr>
        <w:t>%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-339725</wp:posOffset>
            </wp:positionH>
            <wp:positionV relativeFrom="paragraph">
              <wp:posOffset>137160</wp:posOffset>
            </wp:positionV>
            <wp:extent cx="6582410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ind w:left="142" w:right="0" w:firstLine="709"/>
        <w:jc w:val="center"/>
        <w:rPr>
          <w:rFonts w:ascii="Times New Roman" w:hAnsi="Times New Roman" w:cs="Times New Roman"/>
          <w:b/>
          <w:b/>
          <w:i/>
          <w:i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>ноябре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5</w:t>
      </w:r>
      <w:r>
        <w:rPr>
          <w:rFonts w:cs="Times New Roman" w:ascii="Times New Roman" w:hAnsi="Times New Roman"/>
          <w:sz w:val="26"/>
          <w:szCs w:val="26"/>
        </w:rPr>
        <w:t>50</w:t>
      </w:r>
      <w:r>
        <w:rPr>
          <w:rFonts w:cs="Times New Roman" w:ascii="Times New Roman" w:hAnsi="Times New Roman"/>
          <w:sz w:val="26"/>
          <w:szCs w:val="26"/>
        </w:rPr>
        <w:t xml:space="preserve"> тонн (1</w:t>
      </w:r>
      <w:r>
        <w:rPr>
          <w:rFonts w:cs="Times New Roman" w:ascii="Times New Roman" w:hAnsi="Times New Roman"/>
          <w:sz w:val="26"/>
          <w:szCs w:val="26"/>
        </w:rPr>
        <w:t>10,7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– 2</w:t>
      </w:r>
      <w:r>
        <w:rPr>
          <w:rFonts w:cs="Times New Roman" w:ascii="Times New Roman" w:hAnsi="Times New Roman"/>
          <w:sz w:val="26"/>
          <w:szCs w:val="26"/>
        </w:rPr>
        <w:t>6188</w:t>
      </w:r>
      <w:r>
        <w:rPr>
          <w:rFonts w:cs="Times New Roman" w:ascii="Times New Roman" w:hAnsi="Times New Roman"/>
          <w:sz w:val="26"/>
          <w:szCs w:val="26"/>
        </w:rPr>
        <w:t>тонн (104,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/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0355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>3.ПОТРЕБИТЕЛЬСКИЙ РЫНОК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>ноябре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3</w:t>
      </w:r>
      <w:r>
        <w:rPr>
          <w:rFonts w:cs="Times New Roman" w:ascii="Times New Roman" w:hAnsi="Times New Roman"/>
          <w:sz w:val="26"/>
          <w:szCs w:val="26"/>
        </w:rPr>
        <w:t>489,3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(116,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15240</wp:posOffset>
            </wp:positionH>
            <wp:positionV relativeFrom="paragraph">
              <wp:posOffset>-10795</wp:posOffset>
            </wp:positionV>
            <wp:extent cx="6448425" cy="2677160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общественного питания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составил  (статистические данные отсутствуют) </w:t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sz w:val="28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right="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 январь – </w:t>
      </w:r>
      <w:r>
        <w:rPr>
          <w:rFonts w:cs="Times New Roman" w:ascii="Times New Roman" w:hAnsi="Times New Roman"/>
          <w:b/>
          <w:sz w:val="26"/>
          <w:szCs w:val="26"/>
        </w:rPr>
        <w:t>ноябрь</w:t>
      </w:r>
      <w:r>
        <w:rPr>
          <w:rFonts w:cs="Times New Roman" w:ascii="Times New Roman" w:hAnsi="Times New Roman"/>
          <w:b/>
          <w:sz w:val="26"/>
          <w:szCs w:val="26"/>
        </w:rPr>
        <w:t xml:space="preserve"> 2022 </w:t>
      </w:r>
      <w:r>
        <w:rPr>
          <w:rFonts w:cs="Times New Roman" w:ascii="Times New Roman" w:hAnsi="Times New Roman"/>
          <w:sz w:val="26"/>
          <w:szCs w:val="26"/>
        </w:rPr>
        <w:t>года  инвестиции составили 4943859,0 тыс.руб. (в 3,2 раза к уровню 2021 года)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</w:t>
      </w:r>
      <w:r>
        <w:rPr>
          <w:rFonts w:cs="Times New Roman" w:ascii="Times New Roman" w:hAnsi="Times New Roman"/>
          <w:b/>
          <w:sz w:val="26"/>
          <w:szCs w:val="26"/>
        </w:rPr>
        <w:t>октябре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среднемесячная номинальная 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sz w:val="26"/>
          <w:szCs w:val="26"/>
        </w:rPr>
        <w:t>42287,2</w:t>
      </w:r>
      <w:r>
        <w:rPr>
          <w:rFonts w:cs="Times New Roman" w:ascii="Times New Roman" w:hAnsi="Times New Roman"/>
          <w:sz w:val="26"/>
          <w:szCs w:val="26"/>
        </w:rPr>
        <w:t xml:space="preserve"> рублей (1</w:t>
      </w:r>
      <w:r>
        <w:rPr>
          <w:rFonts w:cs="Times New Roman" w:ascii="Times New Roman" w:hAnsi="Times New Roman"/>
          <w:sz w:val="26"/>
          <w:szCs w:val="26"/>
        </w:rPr>
        <w:t>10,8</w:t>
      </w:r>
      <w:r>
        <w:rPr>
          <w:rFonts w:cs="Times New Roman" w:ascii="Times New Roman" w:hAnsi="Times New Roman"/>
          <w:sz w:val="26"/>
          <w:szCs w:val="26"/>
        </w:rPr>
        <w:t xml:space="preserve"> % к </w:t>
      </w:r>
      <w:r>
        <w:rPr>
          <w:rFonts w:cs="Times New Roman" w:ascii="Times New Roman" w:hAnsi="Times New Roman"/>
          <w:sz w:val="26"/>
          <w:szCs w:val="26"/>
        </w:rPr>
        <w:t>октябрю</w:t>
      </w:r>
      <w:r>
        <w:rPr>
          <w:rFonts w:cs="Times New Roman" w:ascii="Times New Roman" w:hAnsi="Times New Roman"/>
          <w:sz w:val="26"/>
          <w:szCs w:val="26"/>
        </w:rPr>
        <w:t xml:space="preserve"> 2021 г.).</w:t>
      </w:r>
    </w:p>
    <w:p>
      <w:pPr>
        <w:pStyle w:val="ListParagraph"/>
        <w:ind w:left="0" w:right="0" w:firstLine="567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ListParagraph"/>
        <w:ind w:left="0" w:righ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-915670</wp:posOffset>
            </wp:positionH>
            <wp:positionV relativeFrom="paragraph">
              <wp:posOffset>83820</wp:posOffset>
            </wp:positionV>
            <wp:extent cx="6219825" cy="1857375"/>
            <wp:effectExtent l="0" t="0" r="0" b="0"/>
            <wp:wrapTopAndBottom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W w:w="11805" w:type="dxa"/>
        <w:jc w:val="left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5"/>
        <w:gridCol w:w="6539"/>
      </w:tblGrid>
      <w:tr>
        <w:trPr>
          <w:trHeight w:val="1551" w:hRule="atLeast"/>
        </w:trPr>
        <w:tc>
          <w:tcPr>
            <w:tcW w:w="5265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0" w:right="-276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1,2%,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1,3%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1,4 %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1,5 %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1,4%</w:t>
            </w:r>
          </w:p>
          <w:p>
            <w:pPr>
              <w:pStyle w:val="ListParagraph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1361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1,2%</w:t>
            </w:r>
          </w:p>
          <w:p>
            <w:pPr>
              <w:pStyle w:val="ListParagraph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1304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октября 2022 года — 1,2 %</w:t>
            </w:r>
          </w:p>
          <w:p>
            <w:pPr>
              <w:pStyle w:val="ListParagraph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1304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ноября 2022 года — 1,2 %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65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303 человека,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253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258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260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324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361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379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351 человек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299 человек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октября 2022 года — 303 человека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ноября 2022 года — 295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</w:tbl>
    <w:p>
      <w:pPr>
        <w:pStyle w:val="ListParagraph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kern w:val="0"/>
          <w:sz w:val="28"/>
          <w:szCs w:val="28"/>
          <w:u w:val="single"/>
          <w:lang w:val="ru-RU" w:eastAsia="en-US" w:bidi="ar-SA"/>
        </w:rPr>
        <w:t>7.ДЕМОГРАФИЯ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</w:t>
      </w:r>
      <w:r>
        <w:rPr>
          <w:rFonts w:cs="Times New Roman" w:ascii="Times New Roman" w:hAnsi="Times New Roman"/>
          <w:b/>
          <w:sz w:val="28"/>
          <w:szCs w:val="28"/>
        </w:rPr>
        <w:t>октябре</w:t>
      </w:r>
      <w:r>
        <w:rPr>
          <w:rFonts w:cs="Times New Roman" w:ascii="Times New Roman" w:hAnsi="Times New Roman"/>
          <w:b/>
          <w:sz w:val="28"/>
          <w:szCs w:val="28"/>
        </w:rPr>
        <w:t xml:space="preserve"> 2022 года: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родилось 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ребенок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умерло 7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— </w:t>
      </w:r>
      <w:r>
        <w:rPr>
          <w:rFonts w:cs="Times New Roman" w:ascii="Times New Roman" w:hAnsi="Times New Roman"/>
          <w:sz w:val="28"/>
          <w:szCs w:val="28"/>
        </w:rPr>
        <w:t xml:space="preserve">52 </w:t>
      </w:r>
      <w:r>
        <w:rPr>
          <w:rFonts w:cs="Times New Roman" w:ascii="Times New Roman" w:hAnsi="Times New Roman"/>
          <w:sz w:val="28"/>
          <w:szCs w:val="28"/>
        </w:rPr>
        <w:t>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358775</wp:posOffset>
            </wp:positionH>
            <wp:positionV relativeFrom="paragraph">
              <wp:posOffset>66040</wp:posOffset>
            </wp:positionV>
            <wp:extent cx="5762625" cy="2970530"/>
            <wp:effectExtent l="0" t="0" r="0" b="0"/>
            <wp:wrapTopAndBottom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отдела экономического развития                                           Н.А. Парфенова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800" w:right="42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2022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99890614745"/>
          <c:y val="0.0230112453144523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1875"/>
          <c:y val="0.243888888888889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482038255630696"/>
                  <c:y val="-0.071790488998792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  <c:pt idx="6">
                  <c:v>3602</c:v>
                </c:pt>
                <c:pt idx="7">
                  <c:v>3949.1</c:v>
                </c:pt>
                <c:pt idx="8">
                  <c:v>4408.7</c:v>
                </c:pt>
                <c:pt idx="9">
                  <c:v>4796.1</c:v>
                </c:pt>
                <c:pt idx="10">
                  <c:v>5224.8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2433650"/>
        <c:axId val="74349321"/>
      </c:lineChart>
      <c:catAx>
        <c:axId val="82433650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349321"/>
        <c:crosses val="autoZero"/>
        <c:auto val="1"/>
        <c:lblAlgn val="ctr"/>
        <c:lblOffset val="100"/>
        <c:noMultiLvlLbl val="0"/>
      </c:catAx>
      <c:valAx>
        <c:axId val="74349321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2433650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2022 год, тонн</a:t>
            </a:r>
          </a:p>
        </c:rich>
      </c:tx>
      <c:layout>
        <c:manualLayout>
          <c:xMode val="edge"/>
          <c:yMode val="edge"/>
          <c:x val="0.16836651213526"/>
          <c:y val="0.0196052191368351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65"/>
          <c:y val="0.329222222222222"/>
          <c:w val="0.8999375"/>
          <c:h val="0.434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273262790443983"/>
                  <c:y val="0.06899089935760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  <c:pt idx="6">
                  <c:v>16619</c:v>
                </c:pt>
                <c:pt idx="7">
                  <c:v>19066</c:v>
                </c:pt>
                <c:pt idx="8">
                  <c:v>21453</c:v>
                </c:pt>
                <c:pt idx="9">
                  <c:v>23905</c:v>
                </c:pt>
                <c:pt idx="10">
                  <c:v>26188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7"/>
          </c:dPt>
          <c:dPt>
            <c:idx val="8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187084106032508"/>
                  <c:y val="0.06015792291220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288534962365005"/>
                  <c:y val="0.038945396145610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  <c:pt idx="6">
                  <c:v>386</c:v>
                </c:pt>
                <c:pt idx="7">
                  <c:v>421</c:v>
                </c:pt>
                <c:pt idx="8">
                  <c:v>456</c:v>
                </c:pt>
                <c:pt idx="9">
                  <c:v>507</c:v>
                </c:pt>
                <c:pt idx="10">
                  <c:v>550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7954510"/>
        <c:axId val="54290094"/>
      </c:lineChart>
      <c:catAx>
        <c:axId val="37954510"/>
        <c:scaling>
          <c:orientation val="minMax"/>
        </c:scaling>
        <c:delete val="1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290094"/>
        <c:auto val="1"/>
        <c:lblAlgn val="ctr"/>
        <c:lblOffset val="100"/>
        <c:noMultiLvlLbl val="0"/>
      </c:catAx>
      <c:valAx>
        <c:axId val="54290094"/>
        <c:scaling>
          <c:orientation val="minMax"/>
          <c:max val="30000"/>
          <c:min val="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954510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25"/>
          <c:y val="0.919"/>
          <c:w val="0.484405275329708"/>
          <c:h val="0.042560284476052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2022 год, млн.рублей</a:t>
            </a:r>
          </a:p>
        </c:rich>
      </c:tx>
      <c:layout>
        <c:manualLayout>
          <c:xMode val="edge"/>
          <c:yMode val="edge"/>
          <c:x val="0.261556498436802"/>
          <c:y val="0.0014792899408284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3"/>
          <c:w val="0.74012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-0.048606446318104"/>
                  <c:y val="-0.0521993743587807"/>
                </c:manualLayout>
              </c:layout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317,4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317.4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  <c:pt idx="6">
                  <c:v>2229.2</c:v>
                </c:pt>
                <c:pt idx="7">
                  <c:v>2566.1</c:v>
                </c:pt>
                <c:pt idx="8">
                  <c:v>2867.8</c:v>
                </c:pt>
                <c:pt idx="9">
                  <c:v>3172.3</c:v>
                </c:pt>
                <c:pt idx="10">
                  <c:v>3489.3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127505520733421"/>
                  <c:y val="-0.0043529699785358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579524584922635"/>
                  <c:y val="-0.0022796499678321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964445790430042"/>
                  <c:y val="-0.02395001229075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227886129618413"/>
                  <c:y val="-0.044723140725234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4345104"/>
        <c:axId val="42533535"/>
      </c:lineChart>
      <c:catAx>
        <c:axId val="74345104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2533535"/>
        <c:crosses val="autoZero"/>
        <c:auto val="1"/>
        <c:lblAlgn val="ctr"/>
        <c:lblOffset val="100"/>
        <c:noMultiLvlLbl val="0"/>
      </c:catAx>
      <c:valAx>
        <c:axId val="42533535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345104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8404375"/>
          <c:y val="0.145888888888889"/>
          <c:w val="0.141258828676792"/>
          <c:h val="0.59728858762084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725"/>
          <c:y val="0.0781111111111111"/>
          <c:w val="0.8971875"/>
          <c:h val="0.509333333333333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  <c:pt idx="6">
                  <c:v>38335</c:v>
                </c:pt>
                <c:pt idx="7">
                  <c:v>38128.6</c:v>
                </c:pt>
                <c:pt idx="8">
                  <c:v>39325.2</c:v>
                </c:pt>
                <c:pt idx="9">
                  <c:v>42287.2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809516"/>
        <c:axId val="37826218"/>
      </c:lineChart>
      <c:catAx>
        <c:axId val="68095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7826218"/>
        <c:crosses val="autoZero"/>
        <c:auto val="1"/>
        <c:lblAlgn val="ctr"/>
        <c:lblOffset val="100"/>
        <c:noMultiLvlLbl val="0"/>
      </c:catAx>
      <c:valAx>
        <c:axId val="37826218"/>
        <c:scaling>
          <c:orientation val="minMax"/>
          <c:max val="5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809516"/>
        <c:crosses val="autoZero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Численность безработных, 
человек (на начало месяца)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13125"/>
          <c:y val="0.347555555555556"/>
          <c:w val="0.9166875"/>
          <c:h val="0.613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  <c:pt idx="6">
                  <c:v>379</c:v>
                </c:pt>
                <c:pt idx="7">
                  <c:v>351</c:v>
                </c:pt>
                <c:pt idx="8">
                  <c:v>299</c:v>
                </c:pt>
                <c:pt idx="9">
                  <c:v>303</c:v>
                </c:pt>
                <c:pt idx="10">
                  <c:v>295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1879381"/>
        <c:axId val="65037597"/>
      </c:lineChart>
      <c:catAx>
        <c:axId val="2187938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5037597"/>
        <c:crossesAt val="300"/>
        <c:auto val="1"/>
        <c:lblAlgn val="ctr"/>
        <c:lblOffset val="100"/>
        <c:noMultiLvlLbl val="0"/>
      </c:catAx>
      <c:valAx>
        <c:axId val="65037597"/>
        <c:scaling>
          <c:orientation val="minMax"/>
          <c:min val="10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1879381"/>
        <c:crosses val="autoZero"/>
        <c:crossBetween val="between"/>
        <c:majorUnit val="2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4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400" spc="-1" strike="noStrike">
                <a:solidFill>
                  <a:srgbClr val="000000"/>
                </a:solidFill>
                <a:latin typeface="Times New Roman"/>
              </a:rPr>
              <a:t>Естественное движение населения, 2022 год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0625"/>
          <c:y val="0.174111111111111"/>
          <c:w val="0.6616875"/>
          <c:h val="0.550888888888889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solidFill>
              <a:srgbClr val="c00000"/>
            </a:solidFill>
            <a:ln w="28440">
              <a:solidFill>
                <a:srgbClr val="c0000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7"/>
          </c:dPt>
          <c:dLbls>
            <c:numFmt formatCode="General" sourceLinked="0"/>
            <c:dLbl>
              <c:idx val="0"/>
              <c:layout>
                <c:manualLayout>
                  <c:x val="0.000857000498256104"/>
                  <c:y val="0.008009598800149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162773029439696"/>
                  <c:y val="0.04253838959785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22754820936639"/>
                  <c:y val="0.02607914395315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0346005509641873"/>
                  <c:y val="0.0089851268591426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566391184572999"/>
                  <c:y val="0.021805639679655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324882039317735"/>
                  <c:y val="0.061695477720457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  <c:pt idx="5">
                  <c:v>42</c:v>
                </c:pt>
                <c:pt idx="6">
                  <c:v>28</c:v>
                </c:pt>
                <c:pt idx="7">
                  <c:v>44</c:v>
                </c:pt>
                <c:pt idx="8">
                  <c:v>29</c:v>
                </c:pt>
                <c:pt idx="9">
                  <c:v>21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solidFill>
              <a:srgbClr val="0070c0"/>
            </a:solidFill>
            <a:ln w="28440">
              <a:solidFill>
                <a:srgbClr val="0070c0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  <c:pt idx="5">
                  <c:v>53</c:v>
                </c:pt>
                <c:pt idx="6">
                  <c:v>64</c:v>
                </c:pt>
                <c:pt idx="7">
                  <c:v>48</c:v>
                </c:pt>
                <c:pt idx="8">
                  <c:v>76</c:v>
                </c:pt>
                <c:pt idx="9">
                  <c:v>73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dLbls>
            <c:numFmt formatCode="@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49578757"/>
        <c:axId val="86700723"/>
      </c:lineChart>
      <c:catAx>
        <c:axId val="49578757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700723"/>
        <c:crosses val="autoZero"/>
        <c:auto val="1"/>
        <c:lblAlgn val="ctr"/>
        <c:lblOffset val="100"/>
        <c:noMultiLvlLbl val="0"/>
      </c:catAx>
      <c:valAx>
        <c:axId val="8670072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9578757"/>
        <c:crossesAt val="1"/>
        <c:crossBetween val="between"/>
      </c:valAx>
      <c:spPr>
        <a:noFill/>
        <a:ln w="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0625"/>
          <c:y val="0.454"/>
          <c:w val="0.236764797799862"/>
          <c:h val="0.284476052894766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Application>LibreOffice/7.2.7.2$Linux_X86_64 LibreOffice_project/20$Build-2</Application>
  <AppVersion>15.0000</AppVersion>
  <Pages>4</Pages>
  <Words>357</Words>
  <Characters>1793</Characters>
  <CharactersWithSpaces>2168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2022-12-19T14:28:48Z</cp:lastPrinted>
  <dcterms:modified xsi:type="dcterms:W3CDTF">2023-01-23T14:58:41Z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