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4.xml.rels" ContentType="application/vnd.openxmlformats-package.relationships+xml"/>
  <Override PartName="/word/charts/_rels/chart3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ind w:left="785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rPr/>
      </w:pPr>
      <w:r>
        <mc:AlternateContent>
          <mc:Choice Requires="wps">
            <w:drawing>
              <wp:anchor behindDoc="0" distT="100965" distB="113030" distL="215265" distR="218440" simplePos="0" locked="0" layoutInCell="0" allowOverlap="1" relativeHeight="7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8555" cy="1275715"/>
                <wp:effectExtent l="0" t="0" r="0" b="0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27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25560"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районе,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Январе —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 xml:space="preserve">декабре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2022 года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 xml:space="preserve">В январе — </w:t>
      </w:r>
      <w:r>
        <w:rPr>
          <w:rFonts w:cs="Times New Roman" w:ascii="Times New Roman" w:hAnsi="Times New Roman"/>
          <w:b/>
          <w:sz w:val="26"/>
          <w:szCs w:val="26"/>
        </w:rPr>
        <w:t>декабре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5</w:t>
      </w:r>
      <w:r>
        <w:rPr>
          <w:rFonts w:cs="Times New Roman" w:ascii="Times New Roman" w:hAnsi="Times New Roman"/>
          <w:sz w:val="26"/>
          <w:szCs w:val="26"/>
        </w:rPr>
        <w:t>701</w:t>
      </w:r>
      <w:r>
        <w:rPr>
          <w:rFonts w:cs="Times New Roman" w:ascii="Times New Roman" w:hAnsi="Times New Roman"/>
          <w:sz w:val="26"/>
          <w:szCs w:val="26"/>
        </w:rPr>
        <w:t xml:space="preserve"> млн. руб. (7</w:t>
      </w:r>
      <w:r>
        <w:rPr>
          <w:rFonts w:cs="Times New Roman" w:ascii="Times New Roman" w:hAnsi="Times New Roman"/>
          <w:sz w:val="26"/>
          <w:szCs w:val="26"/>
        </w:rPr>
        <w:t>2,2</w:t>
      </w:r>
      <w:r>
        <w:rPr>
          <w:rFonts w:cs="Times New Roman" w:ascii="Times New Roman" w:hAnsi="Times New Roman"/>
          <w:sz w:val="26"/>
          <w:szCs w:val="26"/>
        </w:rPr>
        <w:t>%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posOffset>-339725</wp:posOffset>
            </wp:positionH>
            <wp:positionV relativeFrom="paragraph">
              <wp:posOffset>137160</wp:posOffset>
            </wp:positionV>
            <wp:extent cx="6582410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</w:r>
    </w:p>
    <w:p>
      <w:pPr>
        <w:pStyle w:val="ListParagraph"/>
        <w:numPr>
          <w:ilvl w:val="0"/>
          <w:numId w:val="2"/>
        </w:numPr>
        <w:ind w:left="142" w:right="0" w:firstLine="709"/>
        <w:jc w:val="center"/>
        <w:rPr>
          <w:rFonts w:ascii="Times New Roman" w:hAnsi="Times New Roman" w:cs="Times New Roman"/>
          <w:b/>
          <w:b/>
          <w:i/>
          <w:i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righ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>декабре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5</w:t>
      </w:r>
      <w:r>
        <w:rPr>
          <w:rFonts w:cs="Times New Roman" w:ascii="Times New Roman" w:hAnsi="Times New Roman"/>
          <w:sz w:val="26"/>
          <w:szCs w:val="26"/>
        </w:rPr>
        <w:t xml:space="preserve">93 </w:t>
      </w:r>
      <w:r>
        <w:rPr>
          <w:rFonts w:cs="Times New Roman" w:ascii="Times New Roman" w:hAnsi="Times New Roman"/>
          <w:sz w:val="26"/>
          <w:szCs w:val="26"/>
        </w:rPr>
        <w:t>тонн</w:t>
      </w:r>
      <w:r>
        <w:rPr>
          <w:rFonts w:cs="Times New Roman" w:ascii="Times New Roman" w:hAnsi="Times New Roman"/>
          <w:sz w:val="26"/>
          <w:szCs w:val="26"/>
        </w:rPr>
        <w:t>ы</w:t>
      </w:r>
      <w:r>
        <w:rPr>
          <w:rFonts w:cs="Times New Roman" w:ascii="Times New Roman" w:hAnsi="Times New Roman"/>
          <w:sz w:val="26"/>
          <w:szCs w:val="26"/>
        </w:rPr>
        <w:t xml:space="preserve"> (</w:t>
      </w:r>
      <w:r>
        <w:rPr>
          <w:rFonts w:cs="Times New Roman" w:ascii="Times New Roman" w:hAnsi="Times New Roman"/>
          <w:sz w:val="26"/>
          <w:szCs w:val="26"/>
        </w:rPr>
        <w:t>77</w:t>
      </w:r>
      <w:r>
        <w:rPr>
          <w:rFonts w:cs="Times New Roman" w:ascii="Times New Roman" w:hAnsi="Times New Roman"/>
          <w:sz w:val="26"/>
          <w:szCs w:val="26"/>
        </w:rPr>
        <w:t xml:space="preserve">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– 2</w:t>
      </w:r>
      <w:r>
        <w:rPr>
          <w:rFonts w:cs="Times New Roman" w:ascii="Times New Roman" w:hAnsi="Times New Roman"/>
          <w:sz w:val="26"/>
          <w:szCs w:val="26"/>
        </w:rPr>
        <w:t xml:space="preserve">8629 </w:t>
      </w:r>
      <w:r>
        <w:rPr>
          <w:rFonts w:cs="Times New Roman" w:ascii="Times New Roman" w:hAnsi="Times New Roman"/>
          <w:sz w:val="26"/>
          <w:szCs w:val="26"/>
        </w:rPr>
        <w:t>тонн (104,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 % к уровню прошлого года).</w:t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/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511810</wp:posOffset>
            </wp:positionH>
            <wp:positionV relativeFrom="paragraph">
              <wp:posOffset>-350520</wp:posOffset>
            </wp:positionV>
            <wp:extent cx="6600825" cy="5380355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  <w:t>3.ПОТРЕБИТЕЛЬСКИЙ РЫНОК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январе-</w:t>
      </w:r>
      <w:r>
        <w:rPr>
          <w:rFonts w:cs="Times New Roman" w:ascii="Times New Roman" w:hAnsi="Times New Roman"/>
          <w:b/>
          <w:sz w:val="26"/>
          <w:szCs w:val="26"/>
        </w:rPr>
        <w:t>декабре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3</w:t>
      </w:r>
      <w:r>
        <w:rPr>
          <w:rFonts w:cs="Times New Roman" w:ascii="Times New Roman" w:hAnsi="Times New Roman"/>
          <w:sz w:val="26"/>
          <w:szCs w:val="26"/>
        </w:rPr>
        <w:t>903,9</w:t>
      </w:r>
      <w:r>
        <w:rPr>
          <w:rFonts w:cs="Times New Roman" w:ascii="Times New Roman" w:hAnsi="Times New Roman"/>
          <w:sz w:val="26"/>
          <w:szCs w:val="26"/>
        </w:rPr>
        <w:t xml:space="preserve">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(116,5 % к уровню прошлого года).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15240</wp:posOffset>
            </wp:positionH>
            <wp:positionV relativeFrom="paragraph">
              <wp:posOffset>-10795</wp:posOffset>
            </wp:positionV>
            <wp:extent cx="6448425" cy="2677160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spacing w:before="0" w:after="0"/>
        <w:ind w:left="0" w:right="0" w:firstLine="567"/>
        <w:contextualSpacing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Оборот общественного питания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составил  (статистические данные отсутствуют) </w:t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spacing w:before="0" w:after="0"/>
        <w:ind w:left="0" w:righ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sz w:val="28"/>
          <w:szCs w:val="26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right="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За январь – </w:t>
      </w:r>
      <w:r>
        <w:rPr>
          <w:rFonts w:cs="Times New Roman" w:ascii="Times New Roman" w:hAnsi="Times New Roman"/>
          <w:b/>
          <w:sz w:val="26"/>
          <w:szCs w:val="26"/>
        </w:rPr>
        <w:t>декабр</w:t>
      </w:r>
      <w:r>
        <w:rPr>
          <w:rFonts w:cs="Times New Roman" w:ascii="Times New Roman" w:hAnsi="Times New Roman"/>
          <w:b/>
          <w:sz w:val="26"/>
          <w:szCs w:val="26"/>
        </w:rPr>
        <w:t xml:space="preserve">ь 2022 </w:t>
      </w:r>
      <w:r>
        <w:rPr>
          <w:rFonts w:cs="Times New Roman" w:ascii="Times New Roman" w:hAnsi="Times New Roman"/>
          <w:sz w:val="26"/>
          <w:szCs w:val="26"/>
        </w:rPr>
        <w:t>года  инвестиции составили 4943859,0 тыс.руб. (в 3,2 раза к уровню 2021 года)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ind w:left="1211" w:right="0" w:hanging="360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right="0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</w:t>
      </w:r>
      <w:r>
        <w:rPr>
          <w:rFonts w:cs="Times New Roman" w:ascii="Times New Roman" w:hAnsi="Times New Roman"/>
          <w:b/>
          <w:sz w:val="26"/>
          <w:szCs w:val="26"/>
        </w:rPr>
        <w:t>ноябре</w:t>
      </w:r>
      <w:r>
        <w:rPr>
          <w:rFonts w:cs="Times New Roman" w:ascii="Times New Roman" w:hAnsi="Times New Roman"/>
          <w:b/>
          <w:sz w:val="26"/>
          <w:szCs w:val="26"/>
        </w:rPr>
        <w:t xml:space="preserve"> 2022 года: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среднемесячная номинальная заработная плата </w:t>
      </w:r>
      <w:r>
        <w:rPr>
          <w:rFonts w:cs="Times New Roman" w:ascii="Times New Roman" w:hAnsi="Times New Roman"/>
          <w:sz w:val="26"/>
          <w:szCs w:val="26"/>
        </w:rPr>
        <w:t>работников крупных и средних предприятий и некоммерческих организаций района составила 4</w:t>
      </w:r>
      <w:r>
        <w:rPr>
          <w:rFonts w:cs="Times New Roman" w:ascii="Times New Roman" w:hAnsi="Times New Roman"/>
          <w:sz w:val="26"/>
          <w:szCs w:val="26"/>
        </w:rPr>
        <w:t>4960,7</w:t>
      </w:r>
      <w:r>
        <w:rPr>
          <w:rFonts w:cs="Times New Roman" w:ascii="Times New Roman" w:hAnsi="Times New Roman"/>
          <w:sz w:val="26"/>
          <w:szCs w:val="26"/>
        </w:rPr>
        <w:t xml:space="preserve"> рублей (11</w:t>
      </w:r>
      <w:r>
        <w:rPr>
          <w:rFonts w:cs="Times New Roman" w:ascii="Times New Roman" w:hAnsi="Times New Roman"/>
          <w:sz w:val="26"/>
          <w:szCs w:val="26"/>
        </w:rPr>
        <w:t>3</w:t>
      </w:r>
      <w:r>
        <w:rPr>
          <w:rFonts w:cs="Times New Roman" w:ascii="Times New Roman" w:hAnsi="Times New Roman"/>
          <w:sz w:val="26"/>
          <w:szCs w:val="26"/>
        </w:rPr>
        <w:t xml:space="preserve">,8 % к </w:t>
      </w:r>
      <w:r>
        <w:rPr>
          <w:rFonts w:cs="Times New Roman" w:ascii="Times New Roman" w:hAnsi="Times New Roman"/>
          <w:sz w:val="26"/>
          <w:szCs w:val="26"/>
        </w:rPr>
        <w:t>ноябрю</w:t>
      </w:r>
      <w:r>
        <w:rPr>
          <w:rFonts w:cs="Times New Roman" w:ascii="Times New Roman" w:hAnsi="Times New Roman"/>
          <w:sz w:val="26"/>
          <w:szCs w:val="26"/>
        </w:rPr>
        <w:t xml:space="preserve"> 2021 г.).</w:t>
      </w:r>
    </w:p>
    <w:p>
      <w:pPr>
        <w:pStyle w:val="ListParagraph"/>
        <w:ind w:left="0" w:right="0" w:firstLine="567"/>
        <w:jc w:val="center"/>
        <w:rPr>
          <w:lang w:eastAsia="ru-RU"/>
        </w:rPr>
      </w:pPr>
      <w:r>
        <w:rPr>
          <w:lang w:eastAsia="ru-RU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-739140</wp:posOffset>
            </wp:positionH>
            <wp:positionV relativeFrom="paragraph">
              <wp:posOffset>257810</wp:posOffset>
            </wp:positionV>
            <wp:extent cx="6448425" cy="2096770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ListParagraph"/>
        <w:ind w:left="0" w:righ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righ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-915670</wp:posOffset>
            </wp:positionH>
            <wp:positionV relativeFrom="paragraph">
              <wp:posOffset>83820</wp:posOffset>
            </wp:positionV>
            <wp:extent cx="6219825" cy="1857375"/>
            <wp:effectExtent l="0" t="0" r="0" b="0"/>
            <wp:wrapTopAndBottom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tbl>
      <w:tblPr>
        <w:tblW w:w="11805" w:type="dxa"/>
        <w:jc w:val="left"/>
        <w:tblInd w:w="-3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5"/>
        <w:gridCol w:w="6539"/>
      </w:tblGrid>
      <w:tr>
        <w:trPr>
          <w:trHeight w:val="1551" w:hRule="atLeast"/>
        </w:trPr>
        <w:tc>
          <w:tcPr>
            <w:tcW w:w="5265" w:type="dxa"/>
            <w:tcBorders/>
          </w:tcPr>
          <w:p>
            <w:pPr>
              <w:pStyle w:val="ListParagraph"/>
              <w:widowControl w:val="false"/>
              <w:spacing w:lineRule="auto" w:line="240" w:before="0" w:after="0"/>
              <w:ind w:left="0" w:right="-276" w:hanging="0"/>
              <w:contextualSpacing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1,2%,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1,0%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1,3%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1,4 %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1,5 %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1,4%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361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1,2%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304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октября 2022 года — 1,2 %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304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ноября 2022 года — 1,2 %</w:t>
            </w:r>
          </w:p>
          <w:p>
            <w:pPr>
              <w:pStyle w:val="ListParagraph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1304" w:right="-283" w:hanging="113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-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на 1 декабря 2022 года — 1,1%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  <w:tc>
          <w:tcPr>
            <w:tcW w:w="653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center"/>
              <w:rPr>
                <w:rFonts w:ascii="Times New Roman" w:hAnsi="Times New Roman" w:eastAsia="Calibri" w:cs="Times New Roman"/>
                <w:b/>
                <w:b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2022 года – 303 человека,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2022 года – 253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2022 года – 258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апреля 2022 года – 260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мая 2022 года – 324 человека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июня 2022 года – 361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июля 2022 года – 379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августа 2022 года — 351 человек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сентября 2022 года — 299 человек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октября 2022 года — 303 человека</w:t>
            </w:r>
          </w:p>
          <w:p>
            <w:pPr>
              <w:pStyle w:val="Normal"/>
              <w:widowControl w:val="false"/>
              <w:suppressAutoHyphens w:val="true"/>
              <w:overflowPunct w:val="false"/>
              <w:bidi w:val="0"/>
              <w:spacing w:lineRule="auto" w:line="240" w:before="0" w:after="0"/>
              <w:ind w:left="-57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ноября 2022 года — 295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6"/>
                <w:szCs w:val="26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u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z w:val="26"/>
                <w:szCs w:val="26"/>
                <w:u w:val="none"/>
              </w:rPr>
              <w:t>на 1 декабря 2022 года — 280 человек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5" w:right="0" w:hanging="0"/>
              <w:jc w:val="left"/>
              <w:rPr>
                <w:rFonts w:ascii="Times New Roman" w:hAnsi="Times New Roman" w:eastAsia="Calibri" w:cs="Times New Roman"/>
                <w:kern w:val="0"/>
                <w:sz w:val="26"/>
                <w:szCs w:val="26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</w:r>
          </w:p>
        </w:tc>
      </w:tr>
    </w:tbl>
    <w:p>
      <w:pPr>
        <w:pStyle w:val="ListParagraph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kern w:val="0"/>
          <w:sz w:val="28"/>
          <w:szCs w:val="28"/>
          <w:u w:val="single"/>
          <w:lang w:val="ru-RU" w:eastAsia="en-US" w:bidi="ar-SA"/>
        </w:rPr>
        <w:t>7.ДЕМОГРАФИЯ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 xml:space="preserve">В </w:t>
      </w:r>
      <w:r>
        <w:rPr>
          <w:rFonts w:cs="Times New Roman" w:ascii="Times New Roman" w:hAnsi="Times New Roman"/>
          <w:b/>
          <w:sz w:val="28"/>
          <w:szCs w:val="28"/>
        </w:rPr>
        <w:t>ноябре</w:t>
      </w:r>
      <w:r>
        <w:rPr>
          <w:rFonts w:cs="Times New Roman" w:ascii="Times New Roman" w:hAnsi="Times New Roman"/>
          <w:b/>
          <w:sz w:val="28"/>
          <w:szCs w:val="28"/>
        </w:rPr>
        <w:t xml:space="preserve"> 2022 года:</w:t>
      </w:r>
    </w:p>
    <w:p>
      <w:pPr>
        <w:pStyle w:val="ListParagraph"/>
        <w:ind w:left="0" w:righ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родилось </w:t>
      </w:r>
      <w:r>
        <w:rPr>
          <w:rFonts w:cs="Times New Roman" w:ascii="Times New Roman" w:hAnsi="Times New Roman"/>
          <w:sz w:val="28"/>
          <w:szCs w:val="28"/>
        </w:rPr>
        <w:t>102</w:t>
      </w:r>
      <w:r>
        <w:rPr>
          <w:rFonts w:cs="Times New Roman" w:ascii="Times New Roman" w:hAnsi="Times New Roman"/>
          <w:sz w:val="28"/>
          <w:szCs w:val="28"/>
        </w:rPr>
        <w:t xml:space="preserve"> реб</w:t>
      </w:r>
      <w:r>
        <w:rPr>
          <w:rFonts w:cs="Times New Roman" w:ascii="Times New Roman" w:hAnsi="Times New Roman"/>
          <w:sz w:val="28"/>
          <w:szCs w:val="28"/>
        </w:rPr>
        <w:t>енка</w:t>
      </w:r>
      <w:r>
        <w:rPr>
          <w:rFonts w:cs="Times New Roman" w:ascii="Times New Roman" w:hAnsi="Times New Roman"/>
          <w:sz w:val="28"/>
          <w:szCs w:val="28"/>
        </w:rPr>
        <w:t>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умерло </w:t>
      </w:r>
      <w:r>
        <w:rPr>
          <w:rFonts w:cs="Times New Roman" w:ascii="Times New Roman" w:hAnsi="Times New Roman"/>
          <w:sz w:val="28"/>
          <w:szCs w:val="28"/>
        </w:rPr>
        <w:t>12</w:t>
      </w:r>
      <w:r>
        <w:rPr>
          <w:rFonts w:cs="Times New Roman" w:ascii="Times New Roman" w:hAnsi="Times New Roman"/>
          <w:sz w:val="28"/>
          <w:szCs w:val="28"/>
        </w:rPr>
        <w:t>3 человека,</w:t>
      </w:r>
    </w:p>
    <w:p>
      <w:pPr>
        <w:pStyle w:val="ListParagraph"/>
        <w:numPr>
          <w:ilvl w:val="0"/>
          <w:numId w:val="1"/>
        </w:numPr>
        <w:ind w:left="0" w:right="0" w:firstLine="567"/>
        <w:jc w:val="both"/>
        <w:rPr/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составила — </w:t>
      </w:r>
      <w:r>
        <w:rPr>
          <w:rFonts w:cs="Times New Roman" w:ascii="Times New Roman" w:hAnsi="Times New Roman"/>
          <w:sz w:val="28"/>
          <w:szCs w:val="28"/>
        </w:rPr>
        <w:t>21</w:t>
      </w:r>
      <w:r>
        <w:rPr>
          <w:rFonts w:cs="Times New Roman" w:ascii="Times New Roman" w:hAnsi="Times New Roman"/>
          <w:sz w:val="28"/>
          <w:szCs w:val="28"/>
        </w:rPr>
        <w:t xml:space="preserve"> человек.</w:t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358775</wp:posOffset>
            </wp:positionH>
            <wp:positionV relativeFrom="paragraph">
              <wp:posOffset>66040</wp:posOffset>
            </wp:positionV>
            <wp:extent cx="5762625" cy="2970530"/>
            <wp:effectExtent l="0" t="0" r="0" b="0"/>
            <wp:wrapTopAndBottom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77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И.о н</w:t>
      </w:r>
      <w:r>
        <w:rPr>
          <w:rFonts w:cs="Times New Roman" w:ascii="Times New Roman" w:hAnsi="Times New Roman"/>
          <w:sz w:val="28"/>
          <w:szCs w:val="28"/>
        </w:rPr>
        <w:t>ачальник</w:t>
      </w:r>
      <w:r>
        <w:rPr>
          <w:rFonts w:cs="Times New Roman" w:ascii="Times New Roman" w:hAnsi="Times New Roman"/>
          <w:sz w:val="28"/>
          <w:szCs w:val="28"/>
        </w:rPr>
        <w:t>а</w:t>
      </w:r>
    </w:p>
    <w:p>
      <w:pPr>
        <w:pStyle w:val="Normal"/>
        <w:widowControl/>
        <w:suppressAutoHyphens w:val="true"/>
        <w:overflowPunct w:val="false"/>
        <w:bidi w:val="0"/>
        <w:spacing w:lineRule="auto" w:line="276" w:before="0" w:after="0"/>
        <w:ind w:left="1077" w:right="-113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отдела экономи</w:t>
      </w:r>
      <w:r>
        <w:rPr>
          <w:rFonts w:cs="Times New Roman" w:ascii="Times New Roman" w:hAnsi="Times New Roman"/>
          <w:sz w:val="28"/>
          <w:szCs w:val="28"/>
        </w:rPr>
        <w:t xml:space="preserve">ки </w:t>
      </w: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О.В. Гладышева</w:t>
      </w:r>
    </w:p>
    <w:p>
      <w:pPr>
        <w:pStyle w:val="Normal"/>
        <w:spacing w:before="0" w:after="0"/>
        <w:ind w:left="567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800" w:right="424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Calibri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11">
    <w:name w:val="Заголовок 1 Знак"/>
    <w:basedOn w:val="DefaultParagraphFont"/>
    <w:qFormat/>
    <w:rPr>
      <w:rFonts w:ascii="Cambria" w:hAnsi="Cambria" w:eastAsia="Calibri" w:cs="Tahoma"/>
      <w:b/>
      <w:bCs/>
      <w:color w:val="365F91"/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Содержимое таблицы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2022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99890614745"/>
          <c:y val="0.0231153685964182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1875"/>
          <c:y val="0.243888888888889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482038255630696"/>
                  <c:y val="-0.0717904889987925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781.1</c:v>
                </c:pt>
                <c:pt idx="1">
                  <c:v>1360.8</c:v>
                </c:pt>
                <c:pt idx="2">
                  <c:v>1876.8</c:v>
                </c:pt>
                <c:pt idx="3">
                  <c:v>2295.9</c:v>
                </c:pt>
                <c:pt idx="4">
                  <c:v>2673.1</c:v>
                </c:pt>
                <c:pt idx="5">
                  <c:v>3268.1</c:v>
                </c:pt>
                <c:pt idx="6">
                  <c:v>3602</c:v>
                </c:pt>
                <c:pt idx="7">
                  <c:v>3949.1</c:v>
                </c:pt>
                <c:pt idx="8">
                  <c:v>4408.7</c:v>
                </c:pt>
                <c:pt idx="9">
                  <c:v>4796.1</c:v>
                </c:pt>
                <c:pt idx="10">
                  <c:v>5224.8</c:v>
                </c:pt>
                <c:pt idx="11">
                  <c:v>5701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698022"/>
        <c:axId val="86061449"/>
      </c:lineChart>
      <c:catAx>
        <c:axId val="2698022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6061449"/>
        <c:crosses val="autoZero"/>
        <c:auto val="1"/>
        <c:lblAlgn val="ctr"/>
        <c:lblOffset val="100"/>
        <c:noMultiLvlLbl val="0"/>
      </c:catAx>
      <c:valAx>
        <c:axId val="86061449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698022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2022 год, тонн</a:t>
            </a:r>
          </a:p>
        </c:rich>
      </c:tx>
      <c:layout>
        <c:manualLayout>
          <c:xMode val="edge"/>
          <c:yMode val="edge"/>
          <c:x val="0.16836651213526"/>
          <c:y val="0.019672131147541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65"/>
          <c:y val="0.329222222222222"/>
          <c:w val="0.8999375"/>
          <c:h val="0.434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7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273262790443983"/>
                  <c:y val="0.068990899357601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2421</c:v>
                </c:pt>
                <c:pt idx="1">
                  <c:v>4656</c:v>
                </c:pt>
                <c:pt idx="2">
                  <c:v>7083</c:v>
                </c:pt>
                <c:pt idx="3">
                  <c:v>9455</c:v>
                </c:pt>
                <c:pt idx="4">
                  <c:v>11884</c:v>
                </c:pt>
                <c:pt idx="5">
                  <c:v>14229</c:v>
                </c:pt>
                <c:pt idx="6">
                  <c:v>16619</c:v>
                </c:pt>
                <c:pt idx="7">
                  <c:v>19066</c:v>
                </c:pt>
                <c:pt idx="8">
                  <c:v>21453</c:v>
                </c:pt>
                <c:pt idx="9">
                  <c:v>23905</c:v>
                </c:pt>
                <c:pt idx="10">
                  <c:v>26188</c:v>
                </c:pt>
                <c:pt idx="11">
                  <c:v>28629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7"/>
          </c:dPt>
          <c:dPt>
            <c:idx val="8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0.0187084106032508"/>
                  <c:y val="0.06015792291220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0.0288534962365005"/>
                  <c:y val="0.038945396145610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35</c:v>
                </c:pt>
                <c:pt idx="1">
                  <c:v>79</c:v>
                </c:pt>
                <c:pt idx="2">
                  <c:v>146</c:v>
                </c:pt>
                <c:pt idx="3">
                  <c:v>174</c:v>
                </c:pt>
                <c:pt idx="4">
                  <c:v>229</c:v>
                </c:pt>
                <c:pt idx="5">
                  <c:v>331</c:v>
                </c:pt>
                <c:pt idx="6">
                  <c:v>386</c:v>
                </c:pt>
                <c:pt idx="7">
                  <c:v>421</c:v>
                </c:pt>
                <c:pt idx="8">
                  <c:v>456</c:v>
                </c:pt>
                <c:pt idx="9">
                  <c:v>507</c:v>
                </c:pt>
                <c:pt idx="10">
                  <c:v>550</c:v>
                </c:pt>
                <c:pt idx="11">
                  <c:v>593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75141891"/>
        <c:axId val="48759174"/>
      </c:lineChart>
      <c:catAx>
        <c:axId val="75141891"/>
        <c:scaling>
          <c:orientation val="minMax"/>
        </c:scaling>
        <c:delete val="1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8759174"/>
        <c:auto val="1"/>
        <c:lblAlgn val="ctr"/>
        <c:lblOffset val="100"/>
        <c:noMultiLvlLbl val="0"/>
      </c:catAx>
      <c:valAx>
        <c:axId val="48759174"/>
        <c:scaling>
          <c:orientation val="minMax"/>
          <c:max val="30000"/>
          <c:min val="0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5141891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25"/>
          <c:y val="0.919"/>
          <c:w val="0.484405275329708"/>
          <c:h val="0.042560284476052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2022 год, млн.рублей</a:t>
            </a:r>
          </a:p>
        </c:rich>
      </c:tx>
      <c:layout>
        <c:manualLayout>
          <c:xMode val="edge"/>
          <c:yMode val="edge"/>
          <c:x val="0.261556498436802"/>
          <c:y val="0.00161377084454008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3"/>
          <c:w val="0.74012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-0.048606446318104"/>
                  <c:y val="-0.0521993743587807"/>
                </c:manualLayout>
              </c:layout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000" spc="-1" strike="noStrike">
                        <a:solidFill>
                          <a:srgbClr val="000000"/>
                        </a:solidFill>
                        <a:latin typeface="Calibri"/>
                      </a:rPr>
                      <a:t>317,4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317.4</c:v>
                </c:pt>
                <c:pt idx="1">
                  <c:v>604.6</c:v>
                </c:pt>
                <c:pt idx="2">
                  <c:v>956.2</c:v>
                </c:pt>
                <c:pt idx="3">
                  <c:v>1246.3</c:v>
                </c:pt>
                <c:pt idx="4">
                  <c:v>1547.9</c:v>
                </c:pt>
                <c:pt idx="5">
                  <c:v>1868.2</c:v>
                </c:pt>
                <c:pt idx="6">
                  <c:v>2229.2</c:v>
                </c:pt>
                <c:pt idx="7">
                  <c:v>2566.1</c:v>
                </c:pt>
                <c:pt idx="8">
                  <c:v>2867.8</c:v>
                </c:pt>
                <c:pt idx="9">
                  <c:v>3172.3</c:v>
                </c:pt>
                <c:pt idx="10">
                  <c:v>3489.3</c:v>
                </c:pt>
                <c:pt idx="11">
                  <c:v>3903.9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оборот общественного питания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127505520733421"/>
                  <c:y val="-0.0043529699785358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579524584922635"/>
                  <c:y val="-0.0022796499678321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964445790430042"/>
                  <c:y val="-0.023950012290759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227886129618413"/>
                  <c:y val="-0.044723140725234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84.3</c:v>
                </c:pt>
                <c:pt idx="1">
                  <c:v>177</c:v>
                </c:pt>
                <c:pt idx="2">
                  <c:v>280.8</c:v>
                </c:pt>
                <c:pt idx="3">
                  <c:v>393.8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47087895"/>
        <c:axId val="76546838"/>
      </c:lineChart>
      <c:catAx>
        <c:axId val="47087895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6546838"/>
        <c:crosses val="autoZero"/>
        <c:auto val="1"/>
        <c:lblAlgn val="ctr"/>
        <c:lblOffset val="100"/>
        <c:noMultiLvlLbl val="0"/>
      </c:catAx>
      <c:valAx>
        <c:axId val="76546838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087895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legend>
      <c:legendPos val="r"/>
      <c:layout>
        <c:manualLayout>
          <c:xMode val="edge"/>
          <c:yMode val="edge"/>
          <c:x val="0.8404375"/>
          <c:y val="0.145888888888889"/>
          <c:w val="0.141258828676792"/>
          <c:h val="0.597288587620847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725"/>
          <c:y val="0.0781111111111111"/>
          <c:w val="0.8971875"/>
          <c:h val="0.509333333333333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40375</c:v>
                </c:pt>
                <c:pt idx="1">
                  <c:v>40418</c:v>
                </c:pt>
                <c:pt idx="2">
                  <c:v>44807</c:v>
                </c:pt>
                <c:pt idx="3">
                  <c:v>40269.4</c:v>
                </c:pt>
                <c:pt idx="4">
                  <c:v>43367.1</c:v>
                </c:pt>
                <c:pt idx="5">
                  <c:v>48029.5</c:v>
                </c:pt>
                <c:pt idx="6">
                  <c:v>38335</c:v>
                </c:pt>
                <c:pt idx="7">
                  <c:v>38128.6</c:v>
                </c:pt>
                <c:pt idx="8">
                  <c:v>39325.2</c:v>
                </c:pt>
                <c:pt idx="9">
                  <c:v>42287.2</c:v>
                </c:pt>
                <c:pt idx="10">
                  <c:v>44960.7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43212789"/>
        <c:axId val="30231837"/>
      </c:lineChart>
      <c:catAx>
        <c:axId val="4321278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0231837"/>
        <c:crosses val="autoZero"/>
        <c:auto val="1"/>
        <c:lblAlgn val="ctr"/>
        <c:lblOffset val="100"/>
        <c:noMultiLvlLbl val="0"/>
      </c:catAx>
      <c:valAx>
        <c:axId val="30231837"/>
        <c:scaling>
          <c:orientation val="minMax"/>
          <c:max val="5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3212789"/>
        <c:crosses val="autoZero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Численность безработных, 
человек (на начало месяца)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13125"/>
          <c:y val="0.347555555555556"/>
          <c:w val="0.9166875"/>
          <c:h val="0.613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1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303</c:v>
                </c:pt>
                <c:pt idx="1">
                  <c:v>253</c:v>
                </c:pt>
                <c:pt idx="2">
                  <c:v>258</c:v>
                </c:pt>
                <c:pt idx="3">
                  <c:v>260</c:v>
                </c:pt>
                <c:pt idx="4">
                  <c:v>324</c:v>
                </c:pt>
                <c:pt idx="5">
                  <c:v>361</c:v>
                </c:pt>
                <c:pt idx="6">
                  <c:v>379</c:v>
                </c:pt>
                <c:pt idx="7">
                  <c:v>351</c:v>
                </c:pt>
                <c:pt idx="8">
                  <c:v>299</c:v>
                </c:pt>
                <c:pt idx="9">
                  <c:v>303</c:v>
                </c:pt>
                <c:pt idx="10">
                  <c:v>295</c:v>
                </c:pt>
                <c:pt idx="11">
                  <c:v>280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38600405"/>
        <c:axId val="89500147"/>
      </c:lineChart>
      <c:catAx>
        <c:axId val="38600405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9500147"/>
        <c:crossesAt val="300"/>
        <c:auto val="1"/>
        <c:lblAlgn val="ctr"/>
        <c:lblOffset val="100"/>
        <c:noMultiLvlLbl val="0"/>
      </c:catAx>
      <c:valAx>
        <c:axId val="89500147"/>
        <c:scaling>
          <c:orientation val="minMax"/>
          <c:min val="100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8600405"/>
        <c:crosses val="autoZero"/>
        <c:crossBetween val="between"/>
        <c:majorUnit val="2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4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400" spc="-1" strike="noStrike">
                <a:solidFill>
                  <a:srgbClr val="000000"/>
                </a:solidFill>
                <a:latin typeface="Times New Roman"/>
              </a:rPr>
              <a:t>Естественное движение населения, 2022 год</a:t>
            </a:r>
          </a:p>
        </c:rich>
      </c:tx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0625"/>
          <c:y val="0.174111111111111"/>
          <c:w val="0.6616875"/>
          <c:h val="0.550888888888889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Численность родившихся, чел.</c:v>
                </c:pt>
              </c:strCache>
            </c:strRef>
          </c:tx>
          <c:spPr>
            <a:solidFill>
              <a:srgbClr val="c00000"/>
            </a:solidFill>
            <a:ln w="28440">
              <a:solidFill>
                <a:srgbClr val="c0000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Pt>
            <c:idx val="4"/>
          </c:dPt>
          <c:dPt>
            <c:idx val="7"/>
          </c:dPt>
          <c:dLbls>
            <c:numFmt formatCode="General" sourceLinked="0"/>
            <c:dLbl>
              <c:idx val="0"/>
              <c:layout>
                <c:manualLayout>
                  <c:x val="0.000857000498256104"/>
                  <c:y val="0.0080095988001499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162773029439696"/>
                  <c:y val="0.04253838959785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122754820936639"/>
                  <c:y val="0.026079143953159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0346005509641873"/>
                  <c:y val="0.0089851268591426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0566391184572999"/>
                  <c:y val="0.021805639679655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324882039317735"/>
                  <c:y val="0.0616954777204573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26</c:v>
                </c:pt>
                <c:pt idx="1">
                  <c:v>32</c:v>
                </c:pt>
                <c:pt idx="2">
                  <c:v>28</c:v>
                </c:pt>
                <c:pt idx="3">
                  <c:v>28</c:v>
                </c:pt>
                <c:pt idx="4">
                  <c:v>33</c:v>
                </c:pt>
                <c:pt idx="5">
                  <c:v>42</c:v>
                </c:pt>
                <c:pt idx="6">
                  <c:v>28</c:v>
                </c:pt>
                <c:pt idx="7">
                  <c:v>44</c:v>
                </c:pt>
                <c:pt idx="8">
                  <c:v>29</c:v>
                </c:pt>
                <c:pt idx="9">
                  <c:v>21</c:v>
                </c:pt>
                <c:pt idx="10">
                  <c:v>102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Численность умерших, чел.</c:v>
                </c:pt>
              </c:strCache>
            </c:strRef>
          </c:tx>
          <c:spPr>
            <a:solidFill>
              <a:srgbClr val="0070c0"/>
            </a:solidFill>
            <a:ln w="28440">
              <a:solidFill>
                <a:srgbClr val="0070c0"/>
              </a:solidFill>
              <a:round/>
            </a:ln>
          </c:spPr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72</c:v>
                </c:pt>
                <c:pt idx="1">
                  <c:v>83</c:v>
                </c:pt>
                <c:pt idx="2">
                  <c:v>81</c:v>
                </c:pt>
                <c:pt idx="3">
                  <c:v>71</c:v>
                </c:pt>
                <c:pt idx="4">
                  <c:v>82</c:v>
                </c:pt>
                <c:pt idx="5">
                  <c:v>53</c:v>
                </c:pt>
                <c:pt idx="6">
                  <c:v>64</c:v>
                </c:pt>
                <c:pt idx="7">
                  <c:v>48</c:v>
                </c:pt>
                <c:pt idx="8">
                  <c:v>76</c:v>
                </c:pt>
                <c:pt idx="9">
                  <c:v>73</c:v>
                </c:pt>
                <c:pt idx="10">
                  <c:v>123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Ряд3</c:v>
                </c:pt>
              </c:strCache>
            </c:strRef>
          </c:tx>
          <c:spPr>
            <a:solidFill>
              <a:srgbClr val="98b855"/>
            </a:solidFill>
            <a:ln w="28440">
              <a:solidFill>
                <a:srgbClr val="98b855"/>
              </a:solidFill>
              <a:round/>
            </a:ln>
          </c:spPr>
          <c:dLbls>
            <c:numFmt formatCode="@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b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47108783"/>
        <c:axId val="52161265"/>
      </c:lineChart>
      <c:catAx>
        <c:axId val="47108783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2161265"/>
        <c:crosses val="autoZero"/>
        <c:auto val="1"/>
        <c:lblAlgn val="ctr"/>
        <c:lblOffset val="100"/>
        <c:noMultiLvlLbl val="0"/>
      </c:catAx>
      <c:valAx>
        <c:axId val="5216126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47108783"/>
        <c:crossesAt val="1"/>
        <c:crossBetween val="between"/>
      </c:valAx>
      <c:spPr>
        <a:noFill/>
        <a:ln w="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7440625"/>
          <c:y val="0.454"/>
          <c:w val="0.236764797799862"/>
          <c:h val="0.284476052894766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Times New Roman"/>
            </a:defRPr>
          </a:pPr>
        </a:p>
      </c:tx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Application>LibreOffice/7.2.7.2$Linux_X86_64 LibreOffice_project/20$Build-2</Application>
  <AppVersion>15.0000</AppVersion>
  <Pages>4</Pages>
  <Words>372</Words>
  <Characters>1837</Characters>
  <CharactersWithSpaces>2256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2023-02-27T09:14:31Z</cp:lastPrinted>
  <dcterms:modified xsi:type="dcterms:W3CDTF">2023-02-27T09:46:01Z</dcterms:modified>
  <cp:revision>52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