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3.xlsx" ContentType="application/vnd.openxmlformats-officedocument.spreadsheetml.shee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6"/>
          <w:szCs w:val="26"/>
        </w:rPr>
      </w:pPr>
      <w:r>
        <mc:AlternateContent>
          <mc:Choice Requires="wps">
            <w:drawing>
              <wp:anchor behindDoc="0" distT="113665" distB="0" distL="227330" distR="114300" simplePos="0" locked="0" layoutInCell="0" allowOverlap="1" relativeHeight="5" wp14:anchorId="28FCC411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9190" cy="1276350"/>
                <wp:effectExtent l="0" t="0" r="15875" b="24765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640" cy="127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округе,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январе -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мае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 2023 года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– </w:t>
      </w:r>
      <w:r>
        <w:rPr>
          <w:rFonts w:cs="Times New Roman" w:ascii="Times New Roman" w:hAnsi="Times New Roman"/>
          <w:b/>
          <w:sz w:val="26"/>
          <w:szCs w:val="26"/>
        </w:rPr>
        <w:t>мае</w:t>
      </w:r>
      <w:r>
        <w:rPr>
          <w:rFonts w:cs="Times New Roman" w:ascii="Times New Roman" w:hAnsi="Times New Roman"/>
          <w:b/>
          <w:sz w:val="26"/>
          <w:szCs w:val="26"/>
        </w:rPr>
        <w:t xml:space="preserve"> 2023года: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5585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</w:t>
      </w:r>
      <w:r>
        <w:rPr>
          <w:rFonts w:cs="Times New Roman" w:ascii="Times New Roman" w:hAnsi="Times New Roman"/>
          <w:sz w:val="26"/>
          <w:szCs w:val="26"/>
        </w:rPr>
        <w:t>2124,216</w:t>
      </w:r>
      <w:r>
        <w:rPr>
          <w:rFonts w:cs="Times New Roman" w:ascii="Times New Roman" w:hAnsi="Times New Roman"/>
          <w:sz w:val="26"/>
          <w:szCs w:val="26"/>
        </w:rPr>
        <w:t xml:space="preserve"> млн. руб. (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>9,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>% к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ind w:left="142" w:firstLine="709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январе - </w:t>
      </w:r>
      <w:r>
        <w:rPr>
          <w:rFonts w:cs="Times New Roman" w:ascii="Times New Roman" w:hAnsi="Times New Roman"/>
          <w:b/>
          <w:sz w:val="26"/>
          <w:szCs w:val="26"/>
        </w:rPr>
        <w:t>мая</w:t>
      </w:r>
      <w:r>
        <w:rPr>
          <w:rFonts w:cs="Times New Roman" w:ascii="Times New Roman" w:hAnsi="Times New Roman"/>
          <w:b/>
          <w:sz w:val="26"/>
          <w:szCs w:val="26"/>
        </w:rPr>
        <w:t xml:space="preserve">  2023 года: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</w:t>
      </w:r>
      <w:r>
        <w:rPr>
          <w:rFonts w:cs="Times New Roman" w:ascii="Times New Roman" w:hAnsi="Times New Roman"/>
          <w:sz w:val="26"/>
          <w:szCs w:val="26"/>
        </w:rPr>
        <w:t>330</w:t>
      </w:r>
      <w:r>
        <w:rPr>
          <w:rFonts w:cs="Times New Roman" w:ascii="Times New Roman" w:hAnsi="Times New Roman"/>
          <w:sz w:val="26"/>
          <w:szCs w:val="26"/>
        </w:rPr>
        <w:t xml:space="preserve"> тонн (1</w:t>
      </w:r>
      <w:r>
        <w:rPr>
          <w:rFonts w:cs="Times New Roman" w:ascii="Times New Roman" w:hAnsi="Times New Roman"/>
          <w:sz w:val="26"/>
          <w:szCs w:val="26"/>
        </w:rPr>
        <w:t>44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1</w:t>
      </w:r>
      <w:r>
        <w:rPr>
          <w:rFonts w:cs="Times New Roman" w:ascii="Times New Roman" w:hAnsi="Times New Roman"/>
          <w:sz w:val="26"/>
          <w:szCs w:val="26"/>
        </w:rPr>
        <w:t xml:space="preserve">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- 1</w:t>
      </w:r>
      <w:r>
        <w:rPr>
          <w:rFonts w:cs="Times New Roman" w:ascii="Times New Roman" w:hAnsi="Times New Roman"/>
          <w:sz w:val="26"/>
          <w:szCs w:val="26"/>
        </w:rPr>
        <w:t>2743</w:t>
      </w:r>
      <w:r>
        <w:rPr>
          <w:rFonts w:cs="Times New Roman" w:ascii="Times New Roman" w:hAnsi="Times New Roman"/>
          <w:sz w:val="26"/>
          <w:szCs w:val="26"/>
        </w:rPr>
        <w:t xml:space="preserve"> тонны (10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2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462915</wp:posOffset>
            </wp:positionH>
            <wp:positionV relativeFrom="paragraph">
              <wp:posOffset>46355</wp:posOffset>
            </wp:positionV>
            <wp:extent cx="6139180" cy="4718050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3.ПОТРЕБИТЕЛЬСКИЙ РЫНОК</w:t>
      </w:r>
    </w:p>
    <w:p>
      <w:pPr>
        <w:pStyle w:val="ListParagraph"/>
        <w:ind w:left="567" w:right="-1" w:hanging="0"/>
        <w:jc w:val="center"/>
        <w:rPr/>
      </w:pPr>
      <w:r>
        <w:rPr/>
      </w:r>
    </w:p>
    <w:p>
      <w:pPr>
        <w:pStyle w:val="ListParagraph"/>
        <w:tabs>
          <w:tab w:val="clear" w:pos="708"/>
          <w:tab w:val="left" w:pos="930" w:leader="none"/>
        </w:tabs>
        <w:ind w:left="85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— </w:t>
      </w:r>
      <w:r>
        <w:rPr>
          <w:rFonts w:cs="Times New Roman" w:ascii="Times New Roman" w:hAnsi="Times New Roman"/>
          <w:b/>
          <w:sz w:val="26"/>
          <w:szCs w:val="26"/>
        </w:rPr>
        <w:t>мае</w:t>
      </w:r>
      <w:r>
        <w:rPr>
          <w:rFonts w:cs="Times New Roman" w:ascii="Times New Roman" w:hAnsi="Times New Roman"/>
          <w:b/>
          <w:sz w:val="26"/>
          <w:szCs w:val="26"/>
        </w:rPr>
        <w:t xml:space="preserve"> 2023 года:</w:t>
      </w:r>
    </w:p>
    <w:p>
      <w:pPr>
        <w:pStyle w:val="ListParagraph"/>
        <w:ind w:left="90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Оборот розничной торговли составил </w:t>
      </w:r>
      <w:r>
        <w:rPr>
          <w:rFonts w:cs="Times New Roman" w:ascii="Times New Roman" w:hAnsi="Times New Roman"/>
          <w:sz w:val="26"/>
          <w:szCs w:val="26"/>
        </w:rPr>
        <w:t>1819,519</w:t>
      </w:r>
      <w:r>
        <w:rPr>
          <w:rFonts w:cs="Times New Roman" w:ascii="Times New Roman" w:hAnsi="Times New Roman"/>
          <w:sz w:val="26"/>
          <w:szCs w:val="26"/>
        </w:rPr>
        <w:t xml:space="preserve">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(11</w:t>
      </w:r>
      <w:r>
        <w:rPr>
          <w:rFonts w:cs="Times New Roman" w:ascii="Times New Roman" w:hAnsi="Times New Roman"/>
          <w:sz w:val="26"/>
          <w:szCs w:val="26"/>
        </w:rPr>
        <w:t>7</w:t>
      </w:r>
      <w:r>
        <w:rPr>
          <w:rFonts w:cs="Times New Roman" w:ascii="Times New Roman" w:hAnsi="Times New Roman"/>
          <w:sz w:val="26"/>
          <w:szCs w:val="26"/>
        </w:rPr>
        <w:t>,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% выше уровня прошлого года).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753110</wp:posOffset>
            </wp:positionH>
            <wp:positionV relativeFrom="paragraph">
              <wp:posOffset>-16510</wp:posOffset>
            </wp:positionV>
            <wp:extent cx="5800090" cy="2629535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96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 январе — марте  2023 года </w:t>
      </w:r>
      <w:r>
        <w:rPr>
          <w:rFonts w:cs="Times New Roman" w:ascii="Times New Roman" w:hAnsi="Times New Roman"/>
          <w:sz w:val="26"/>
          <w:szCs w:val="26"/>
        </w:rPr>
        <w:t>составили 273438,0 тыс. руб. (14%  к январю — марту 2022 года)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январе — </w:t>
      </w:r>
      <w:r>
        <w:rPr>
          <w:rFonts w:cs="Times New Roman" w:ascii="Times New Roman" w:hAnsi="Times New Roman"/>
          <w:b/>
          <w:sz w:val="26"/>
          <w:szCs w:val="26"/>
        </w:rPr>
        <w:t>апреле</w:t>
      </w:r>
      <w:r>
        <w:rPr>
          <w:rFonts w:cs="Times New Roman" w:ascii="Times New Roman" w:hAnsi="Times New Roman"/>
          <w:b/>
          <w:sz w:val="26"/>
          <w:szCs w:val="26"/>
        </w:rPr>
        <w:t xml:space="preserve"> 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7195185" cy="1989455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  <w:t xml:space="preserve">среднемесячная заработная плата </w:t>
      </w:r>
      <w:r>
        <w:rPr>
          <w:rFonts w:cs="Times New Roman" w:ascii="Times New Roman" w:hAnsi="Times New Roman"/>
          <w:sz w:val="26"/>
          <w:szCs w:val="26"/>
        </w:rPr>
        <w:t xml:space="preserve">работников крупных и средних предприятий и некоммерческих организаций района составила </w:t>
      </w:r>
      <w:r>
        <w:rPr>
          <w:rFonts w:cs="Times New Roman" w:ascii="Times New Roman" w:hAnsi="Times New Roman"/>
          <w:b/>
          <w:sz w:val="26"/>
          <w:szCs w:val="26"/>
        </w:rPr>
        <w:t>44</w:t>
      </w:r>
      <w:r>
        <w:rPr>
          <w:rFonts w:cs="Times New Roman" w:ascii="Times New Roman" w:hAnsi="Times New Roman"/>
          <w:b/>
          <w:sz w:val="26"/>
          <w:szCs w:val="26"/>
        </w:rPr>
        <w:t>309</w:t>
      </w:r>
      <w:r>
        <w:rPr>
          <w:rFonts w:cs="Times New Roman" w:ascii="Times New Roman" w:hAnsi="Times New Roman"/>
          <w:b/>
          <w:sz w:val="26"/>
          <w:szCs w:val="26"/>
        </w:rPr>
        <w:t>,</w:t>
      </w:r>
      <w:r>
        <w:rPr>
          <w:rFonts w:cs="Times New Roman" w:ascii="Times New Roman" w:hAnsi="Times New Roman"/>
          <w:b/>
          <w:sz w:val="26"/>
          <w:szCs w:val="26"/>
        </w:rPr>
        <w:t>60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рубля (1</w:t>
      </w:r>
      <w:r>
        <w:rPr>
          <w:rFonts w:cs="Times New Roman" w:ascii="Times New Roman" w:hAnsi="Times New Roman"/>
          <w:sz w:val="26"/>
          <w:szCs w:val="26"/>
        </w:rPr>
        <w:t>10</w:t>
      </w:r>
      <w:r>
        <w:rPr>
          <w:rFonts w:cs="Times New Roman" w:ascii="Times New Roman" w:hAnsi="Times New Roman"/>
          <w:sz w:val="26"/>
          <w:szCs w:val="26"/>
        </w:rPr>
        <w:t xml:space="preserve">,1 % к январю- </w:t>
      </w:r>
      <w:r>
        <w:rPr>
          <w:rFonts w:cs="Times New Roman" w:ascii="Times New Roman" w:hAnsi="Times New Roman"/>
          <w:sz w:val="26"/>
          <w:szCs w:val="26"/>
        </w:rPr>
        <w:t>апрелю</w:t>
      </w:r>
      <w:r>
        <w:rPr>
          <w:rFonts w:cs="Times New Roman" w:ascii="Times New Roman" w:hAnsi="Times New Roman"/>
          <w:sz w:val="26"/>
          <w:szCs w:val="26"/>
        </w:rPr>
        <w:t xml:space="preserve"> 2022 г.).</w:t>
      </w:r>
    </w:p>
    <w:p>
      <w:pPr>
        <w:pStyle w:val="ListParagraph"/>
        <w:ind w:left="0" w:firstLine="567"/>
        <w:jc w:val="center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tbl>
      <w:tblPr>
        <w:tblStyle w:val="af1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16"/>
        <w:gridCol w:w="5556"/>
      </w:tblGrid>
      <w:tr>
        <w:trPr>
          <w:trHeight w:val="1551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1,0%,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— 1,1%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марта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- на 1 апреля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на 1 мая 2023 года — 1,2%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Численность безработных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252 человека,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– 286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2023 года — 293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-на 1 апреля 2023 года — 279 человек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мая 2023 года — 281 человек</w:t>
            </w:r>
          </w:p>
        </w:tc>
      </w:tr>
    </w:tbl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7.ДЕМОГРАФИЯ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 январе — </w:t>
      </w:r>
      <w:r>
        <w:rPr>
          <w:rFonts w:cs="Times New Roman" w:ascii="Times New Roman" w:hAnsi="Times New Roman"/>
          <w:b/>
          <w:sz w:val="28"/>
          <w:szCs w:val="28"/>
        </w:rPr>
        <w:t>апреле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родилось </w:t>
      </w:r>
      <w:r>
        <w:rPr>
          <w:rFonts w:cs="Times New Roman" w:ascii="Times New Roman" w:hAnsi="Times New Roman"/>
          <w:sz w:val="28"/>
          <w:szCs w:val="28"/>
        </w:rPr>
        <w:t>124</w:t>
      </w:r>
      <w:r>
        <w:rPr>
          <w:rFonts w:cs="Times New Roman" w:ascii="Times New Roman" w:hAnsi="Times New Roman"/>
          <w:sz w:val="28"/>
          <w:szCs w:val="28"/>
        </w:rPr>
        <w:t xml:space="preserve"> детей,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умерло 2</w:t>
      </w:r>
      <w:r>
        <w:rPr>
          <w:rFonts w:cs="Times New Roman" w:ascii="Times New Roman" w:hAnsi="Times New Roman"/>
          <w:sz w:val="28"/>
          <w:szCs w:val="28"/>
        </w:rPr>
        <w:t>58</w:t>
      </w:r>
      <w:r>
        <w:rPr>
          <w:rFonts w:cs="Times New Roman" w:ascii="Times New Roman" w:hAnsi="Times New Roman"/>
          <w:sz w:val="28"/>
          <w:szCs w:val="28"/>
        </w:rPr>
        <w:t xml:space="preserve"> человека,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составила – 1</w:t>
      </w:r>
      <w:r>
        <w:rPr>
          <w:rFonts w:cs="Times New Roman" w:ascii="Times New Roman" w:hAnsi="Times New Roman"/>
          <w:sz w:val="28"/>
          <w:szCs w:val="28"/>
        </w:rPr>
        <w:t>34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Зам. начальника Управления                                                Н.А. Парфенова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экономического развития,                                                      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отдела экономики 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</w:t>
      </w:r>
    </w:p>
    <w:sectPr>
      <w:type w:val="nextPage"/>
      <w:pgSz w:w="11906" w:h="16838"/>
      <w:pgMar w:left="592" w:right="424" w:gutter="0" w:header="0" w:top="851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0ca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30ca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430ca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0ca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a62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e41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964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2023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73131799049"/>
          <c:y val="0.023115368596418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825"/>
          <c:y val="0.244555555555556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385625458178075"/>
                  <c:y val="-0.1158676239850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307.6</c:v>
                </c:pt>
                <c:pt idx="1">
                  <c:v>649.3</c:v>
                </c:pt>
                <c:pt idx="2">
                  <c:v>1142.669</c:v>
                </c:pt>
                <c:pt idx="3">
                  <c:v>1602.542</c:v>
                </c:pt>
                <c:pt idx="4">
                  <c:v>2124.216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1281238"/>
        <c:axId val="9040848"/>
      </c:lineChart>
      <c:catAx>
        <c:axId val="61281238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040848"/>
        <c:crosses val="autoZero"/>
        <c:auto val="1"/>
        <c:lblAlgn val="ctr"/>
        <c:lblOffset val="100"/>
        <c:noMultiLvlLbl val="0"/>
      </c:catAx>
      <c:valAx>
        <c:axId val="9040848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1281238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2023 год, тонн</a:t>
            </a:r>
          </a:p>
        </c:rich>
      </c:tx>
      <c:layout>
        <c:manualLayout>
          <c:xMode val="edge"/>
          <c:yMode val="edge"/>
          <c:x val="0.168357473758283"/>
          <c:y val="0.0198397558183899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80625"/>
          <c:y val="0.105333333333333"/>
          <c:w val="0.900125"/>
          <c:h val="0.646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2486</c:v>
                </c:pt>
                <c:pt idx="1">
                  <c:v>4803</c:v>
                </c:pt>
                <c:pt idx="2">
                  <c:v>7473</c:v>
                </c:pt>
                <c:pt idx="3">
                  <c:v>10050</c:v>
                </c:pt>
                <c:pt idx="4">
                  <c:v>12743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4633153"/>
        <c:axId val="15092625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52</c:v>
                </c:pt>
                <c:pt idx="1">
                  <c:v>113</c:v>
                </c:pt>
                <c:pt idx="2">
                  <c:v>209</c:v>
                </c:pt>
                <c:pt idx="3">
                  <c:v>273</c:v>
                </c:pt>
                <c:pt idx="4">
                  <c:v>330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22695447"/>
        <c:axId val="74756367"/>
      </c:lineChart>
      <c:catAx>
        <c:axId val="4633153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5092625"/>
        <c:crosses val="autoZero"/>
        <c:auto val="1"/>
        <c:lblAlgn val="ctr"/>
        <c:lblOffset val="100"/>
        <c:noMultiLvlLbl val="0"/>
      </c:catAx>
      <c:valAx>
        <c:axId val="15092625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633153"/>
        <c:crossBetween val="between"/>
      </c:valAx>
      <c:catAx>
        <c:axId val="22695447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4756367"/>
        <c:auto val="1"/>
        <c:lblAlgn val="ctr"/>
        <c:lblOffset val="100"/>
        <c:noMultiLvlLbl val="0"/>
      </c:catAx>
      <c:valAx>
        <c:axId val="74756367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2695447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3125"/>
          <c:y val="0.919555555555556"/>
          <c:w val="0.484405275329708"/>
          <c:h val="0.042671407934214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2023 год, млн.рублей</a:t>
            </a:r>
          </a:p>
        </c:rich>
      </c:tx>
      <c:layout>
        <c:manualLayout>
          <c:xMode val="edge"/>
          <c:yMode val="edge"/>
          <c:x val="0.261622493948234"/>
          <c:y val="0.0020536692223439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28888888888889"/>
          <c:w val="0.876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5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351.1</c:v>
                </c:pt>
                <c:pt idx="1">
                  <c:v>677.3</c:v>
                </c:pt>
                <c:pt idx="2">
                  <c:v>1038.01</c:v>
                </c:pt>
                <c:pt idx="3">
                  <c:v>1424.003</c:v>
                </c:pt>
                <c:pt idx="4">
                  <c:v>1819.519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layout>
                <c:manualLayout>
                  <c:x val="0.0193552133416951"/>
                  <c:y val="-0.01881430288839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201813268916607"/>
                  <c:y val="-0.045663500695506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86901295"/>
        <c:axId val="28799500"/>
      </c:lineChart>
      <c:catAx>
        <c:axId val="86901295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8799500"/>
        <c:crosses val="autoZero"/>
        <c:auto val="1"/>
        <c:lblAlgn val="ctr"/>
        <c:lblOffset val="100"/>
        <c:noMultiLvlLbl val="0"/>
      </c:catAx>
      <c:valAx>
        <c:axId val="28799500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901295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9375"/>
          <c:y val="0.0645555555555556"/>
          <c:w val="0.89725"/>
          <c:h val="0.509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43598.1</c:v>
                </c:pt>
                <c:pt idx="1">
                  <c:v>42806.75</c:v>
                </c:pt>
                <c:pt idx="2">
                  <c:v>44007.51</c:v>
                </c:pt>
                <c:pt idx="3">
                  <c:v>44309.6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9013153"/>
        <c:axId val="13450970"/>
      </c:lineChart>
      <c:catAx>
        <c:axId val="6901315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3450970"/>
        <c:crosses val="autoZero"/>
        <c:auto val="1"/>
        <c:lblAlgn val="ctr"/>
        <c:lblOffset val="100"/>
        <c:noMultiLvlLbl val="0"/>
      </c:catAx>
      <c:valAx>
        <c:axId val="13450970"/>
        <c:scaling>
          <c:orientation val="minMax"/>
          <c:max val="6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9013153"/>
        <c:crossesAt val="1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8212-E158-4837-B646-79DCB6D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Application>LibreOffice/7.2.7.2$Linux_X86_64 LibreOffice_project/20$Build-2</Application>
  <AppVersion>15.0000</AppVersion>
  <Pages>3</Pages>
  <Words>262</Words>
  <Characters>1437</Characters>
  <CharactersWithSpaces>1882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2023-07-14T14:52:35Z</cp:lastPrinted>
  <dcterms:modified xsi:type="dcterms:W3CDTF">2023-07-14T14:59:45Z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