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202565" distB="0" distL="31623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23635" cy="1280795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августе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– августе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3523,0 млн. руб. (89,2 %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- августе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469 тонн (111,4 %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- 20527 тонны (107,7 %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январе — августе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3131,467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(122 %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июне  2023 года </w:t>
      </w:r>
      <w:r>
        <w:rPr>
          <w:rFonts w:cs="Times New Roman" w:ascii="Times New Roman" w:hAnsi="Times New Roman"/>
          <w:sz w:val="26"/>
          <w:szCs w:val="26"/>
        </w:rPr>
        <w:t>составили 703325,0 тыс. руб. (15,3 %  к январю — июню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— июле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46488,14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рубля (115,7 % к январю- июлю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мая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июня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июля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1августа 2023 года — 1,2%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2023 года — 279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мая 2023 года — 281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июня 2023 года — 291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июля 2023 года — 301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июля 2023 года — 303 человека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январе — июле 2023года 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 210 детей,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435 человек,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составила – 225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 о. Заместителя Главы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Великоустюгского муниципального округа,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начальника управления экономического развития                                Н.А. Парфенова                                       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4260724698042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  <c:pt idx="4">
                  <c:v>2124.216</c:v>
                </c:pt>
                <c:pt idx="5">
                  <c:v>2567.4</c:v>
                </c:pt>
                <c:pt idx="6">
                  <c:v>3010.4</c:v>
                </c:pt>
                <c:pt idx="7">
                  <c:v>3523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7604972"/>
        <c:axId val="47011368"/>
      </c:lineChart>
      <c:catAx>
        <c:axId val="67604972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011368"/>
        <c:crosses val="autoZero"/>
        <c:auto val="1"/>
        <c:lblAlgn val="ctr"/>
        <c:lblOffset val="100"/>
        <c:noMultiLvlLbl val="0"/>
      </c:catAx>
      <c:valAx>
        <c:axId val="47011368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604972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20373903090423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0.0267882555320979"/>
                  <c:y val="0.020789345738608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465634529673939"/>
                  <c:y val="0.046398046398046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604621158808351"/>
                  <c:y val="0.054487179487179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0.0620455078583158"/>
                  <c:y val="0.04235347985347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744194229415904"/>
                  <c:y val="0.04235347985347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0.0542458362655407"/>
                  <c:y val="0.050366300366300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.0464461646727656"/>
                  <c:y val="0.060439560439560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635702556884823"/>
                  <c:y val="0.048382173382173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  <c:pt idx="4">
                  <c:v>12743</c:v>
                </c:pt>
                <c:pt idx="5">
                  <c:v>15339</c:v>
                </c:pt>
                <c:pt idx="6">
                  <c:v>17936</c:v>
                </c:pt>
                <c:pt idx="7">
                  <c:v>20527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3068599"/>
        <c:axId val="22742273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Pt>
            <c:idx val="6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-0.0398827517249999"/>
                  <c:y val="-0.037370721062358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449800609899132"/>
                  <c:y val="0.0060286935286935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341308937368051"/>
                  <c:y val="0.01213369963369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403471733520995"/>
                  <c:y val="0.018086080586080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  <c:pt idx="4">
                  <c:v>330</c:v>
                </c:pt>
                <c:pt idx="5">
                  <c:v>362</c:v>
                </c:pt>
                <c:pt idx="6">
                  <c:v>413</c:v>
                </c:pt>
                <c:pt idx="7">
                  <c:v>469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04350"/>
        <c:axId val="7469085"/>
      </c:lineChart>
      <c:catAx>
        <c:axId val="63068599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742273"/>
        <c:crosses val="autoZero"/>
        <c:auto val="1"/>
        <c:lblAlgn val="ctr"/>
        <c:lblOffset val="100"/>
        <c:noMultiLvlLbl val="0"/>
      </c:catAx>
      <c:valAx>
        <c:axId val="22742273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3068599"/>
        <c:crossBetween val="between"/>
      </c:valAx>
      <c:catAx>
        <c:axId val="204350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69085"/>
        <c:auto val="1"/>
        <c:lblAlgn val="ctr"/>
        <c:lblOffset val="100"/>
        <c:noMultiLvlLbl val="0"/>
      </c:catAx>
      <c:valAx>
        <c:axId val="7469085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04350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328587075575027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Pt>
            <c:idx val="5"/>
          </c:dPt>
          <c:dPt>
            <c:idx val="6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148355058969584"/>
                  <c:y val="-0.02533205531973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"/>
                  <c:y val="0.02889223606736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  <c:pt idx="4">
                  <c:v>1819.519</c:v>
                </c:pt>
                <c:pt idx="5">
                  <c:v>2236.767</c:v>
                </c:pt>
                <c:pt idx="6">
                  <c:v>2689.266</c:v>
                </c:pt>
                <c:pt idx="7">
                  <c:v>3131.467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2699568"/>
        <c:axId val="25093607"/>
      </c:lineChart>
      <c:catAx>
        <c:axId val="82699568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5093607"/>
        <c:crosses val="autoZero"/>
        <c:auto val="1"/>
        <c:lblAlgn val="ctr"/>
        <c:lblOffset val="100"/>
        <c:noMultiLvlLbl val="0"/>
      </c:catAx>
      <c:valAx>
        <c:axId val="25093607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699568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291218413810358"/>
                  <c:y val="-0.095203619909502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092569427070302"/>
                  <c:y val="0.085610859728506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  <c:pt idx="3">
                  <c:v>44309.6</c:v>
                </c:pt>
                <c:pt idx="4">
                  <c:v>45115.04</c:v>
                </c:pt>
                <c:pt idx="5">
                  <c:v>46855.1</c:v>
                </c:pt>
                <c:pt idx="6">
                  <c:v>46488.14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9726277"/>
        <c:axId val="37224982"/>
      </c:lineChart>
      <c:catAx>
        <c:axId val="8972627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224982"/>
        <c:crosses val="autoZero"/>
        <c:auto val="1"/>
        <c:lblAlgn val="ctr"/>
        <c:lblOffset val="100"/>
        <c:noMultiLvlLbl val="0"/>
      </c:catAx>
      <c:valAx>
        <c:axId val="37224982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9726277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Application>LibreOffice/7.2.7.2$Linux_X86_64 LibreOffice_project/20$Build-2</Application>
  <AppVersion>15.0000</AppVersion>
  <Pages>2</Pages>
  <Words>303</Words>
  <Characters>1617</Characters>
  <CharactersWithSpaces>2103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2023-10-10T09:25:33Z</cp:lastPrinted>
  <dcterms:modified xsi:type="dcterms:W3CDTF">2023-10-10T14:14:48Z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