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  <w:rPr>
          <w:rFonts w:ascii="Bookman Old Style" w:hAnsi="Bookman Old Style" w:cs="Bookman Old Styl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474980" cy="56388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36" t="-30" r="-36" b="-30"/>
                        <a:stretch/>
                      </pic:blipFill>
                      <pic:spPr bwMode="auto">
                        <a:xfrm>
                          <a:off x="0" y="0"/>
                          <a:ext cx="474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false;mso-position-horizontal-relative:text;mso-position-horizontal:center;mso-position-vertical-relative:text;margin-top:0.30pt;mso-position-vertical:absolute;width:37.40pt;height:44.40pt;mso-wrap-distance-left:9.05pt;mso-wrap-distance-top:0.00pt;mso-wrap-distance-right:9.05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Bookman Old Style" w:hAnsi="Bookman Old Style" w:cs="Bookman Old Style"/>
        </w:rPr>
      </w:r>
      <w:r>
        <w:rPr>
          <w:rFonts w:ascii="Bookman Old Style" w:hAnsi="Bookman Old Style" w:cs="Bookman Old Style"/>
        </w:rPr>
      </w:r>
    </w:p>
    <w:p>
      <w:pPr>
        <w:pStyle w:val="62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</w:r>
      <w:r>
        <w:rPr>
          <w:rFonts w:ascii="Bookman Old Style" w:hAnsi="Bookman Old Style" w:cs="Bookman Old Style"/>
        </w:rPr>
      </w:r>
    </w:p>
    <w:p>
      <w:pPr>
        <w:pStyle w:val="62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</w:r>
      <w:r>
        <w:rPr>
          <w:rFonts w:ascii="Bookman Old Style" w:hAnsi="Bookman Old Style" w:cs="Bookman Old Style"/>
        </w:rPr>
      </w:r>
    </w:p>
    <w:p>
      <w:pPr>
        <w:pStyle w:val="621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ВЕЛИКОУСТЮГСКОГО МУНИЦИПАЛЬНОГО ОКРУГА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ВОЛОГОДСКОЙ ОБЛАСТИ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24.01.2023</w:t>
      </w:r>
      <w:r>
        <w:rPr>
          <w:sz w:val="28"/>
          <w:szCs w:val="28"/>
        </w:rPr>
        <w:t xml:space="preserve">        </w:t>
        <w:tab/>
        <w:tab/>
        <w:t xml:space="preserve">   </w:t>
        <w:tab/>
        <w:tab/>
        <w:tab/>
        <w:tab/>
        <w:tab/>
        <w:tab/>
        <w:t xml:space="preserve">                         № </w:t>
      </w:r>
      <w:r>
        <w:rPr>
          <w:sz w:val="28"/>
          <w:szCs w:val="28"/>
          <w:u w:val="single"/>
        </w:rPr>
        <w:t xml:space="preserve">145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pStyle w:val="62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pStyle w:val="6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Великий Устюг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«Экономическое развитие Великоустюгского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Вологодской области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2023-2027 годы»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808080"/>
          <w:szCs w:val="28"/>
        </w:rPr>
      </w:pPr>
      <w:r>
        <w:rPr>
          <w:color w:val="808080"/>
          <w:szCs w:val="28"/>
        </w:rPr>
        <w:t xml:space="preserve">(в редакции постановления администрации Великоустюгского муниципального </w:t>
      </w:r>
      <w:r>
        <w:rPr>
          <w:color w:val="808080"/>
          <w:szCs w:val="28"/>
        </w:rPr>
      </w:r>
      <w:r>
        <w:rPr>
          <w:color w:val="808080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808080"/>
          <w:szCs w:val="28"/>
        </w:rPr>
      </w:pPr>
      <w:r>
        <w:rPr>
          <w:color w:val="808080"/>
          <w:szCs w:val="28"/>
        </w:rPr>
        <w:t xml:space="preserve">округа Вологодской области №793 от 30.03.2023, № 2551 от 18.09.2023,</w:t>
      </w:r>
      <w:r>
        <w:rPr>
          <w:color w:val="808080"/>
          <w:szCs w:val="28"/>
        </w:rPr>
      </w:r>
      <w:r>
        <w:rPr>
          <w:color w:val="808080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808080"/>
          <w:szCs w:val="28"/>
        </w:rPr>
        <w:t xml:space="preserve"> №</w:t>
      </w:r>
      <w:r>
        <w:rPr>
          <w:color w:val="808080"/>
          <w:szCs w:val="28"/>
        </w:rPr>
        <w:t xml:space="preserve">3088 от 03.11.2023, №76 от  16.01.2024,  №414 от 16.02.2024)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jc w:val="center"/>
        <w:tabs>
          <w:tab w:val="left" w:pos="4253" w:leader="none"/>
          <w:tab w:val="left" w:pos="4820" w:leader="none"/>
        </w:tabs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</w:r>
      <w:r>
        <w:rPr>
          <w:b/>
          <w:color w:val="7f7f7f"/>
          <w:sz w:val="28"/>
          <w:szCs w:val="28"/>
        </w:rPr>
      </w:r>
    </w:p>
    <w:p>
      <w:pPr>
        <w:pStyle w:val="621"/>
        <w:ind w:left="0" w:right="0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 и </w:t>
      </w:r>
      <w:r>
        <w:rPr>
          <w:bCs/>
          <w:color w:val="000000"/>
          <w:sz w:val="28"/>
          <w:szCs w:val="28"/>
        </w:rPr>
        <w:t xml:space="preserve">статья-ми</w:t>
      </w:r>
      <w:r>
        <w:rPr>
          <w:color w:val="000000"/>
          <w:sz w:val="28"/>
          <w:szCs w:val="28"/>
        </w:rPr>
        <w:t xml:space="preserve"> 33 и 38 Устава Великоустюгского муниципального округа Вологодской области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62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ПОСТАНОВЛЯЮ: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муниципальную программу «Экономическое развитие Великоустюгского муниципального округа Вологодской области на 2023-2027 годы».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Великоустюгского муниципального округа, начальника управления экономического развития администрации Великоустюгского муниципального округа Вологодской области.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и распространяется на правоотношения, возникшие с 01.01.2023.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1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1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Великоустюгского муниципального округа</w:t>
        <w:tab/>
        <w:tab/>
        <w:tab/>
        <w:t xml:space="preserve">               С. В. Котов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both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73"/>
        <w:ind w:left="4678" w:right="0" w:firstLine="0"/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</w:r>
      <w:r>
        <w:rPr>
          <w:b/>
          <w:sz w:val="28"/>
          <w:szCs w:val="26"/>
          <w:lang w:val="ru-RU"/>
        </w:rPr>
      </w:r>
    </w:p>
    <w:p>
      <w:pPr>
        <w:pStyle w:val="773"/>
        <w:ind w:left="4678" w:right="0" w:firstLine="0"/>
        <w:jc w:val="center"/>
        <w:rPr>
          <w:szCs w:val="26"/>
          <w:lang w:val="ru-RU"/>
        </w:rPr>
      </w:pPr>
      <w:r>
        <w:rPr>
          <w:szCs w:val="26"/>
          <w:lang w:val="ru-RU"/>
        </w:rPr>
      </w:r>
      <w:r>
        <w:rPr>
          <w:szCs w:val="26"/>
          <w:lang w:val="ru-RU"/>
        </w:rPr>
      </w:r>
    </w:p>
    <w:p>
      <w:pPr>
        <w:pStyle w:val="773"/>
        <w:ind w:left="4678" w:right="0" w:firstLine="0"/>
        <w:jc w:val="center"/>
        <w:rPr>
          <w:szCs w:val="26"/>
          <w:lang w:val="ru-RU"/>
        </w:rPr>
      </w:pPr>
      <w:r>
        <w:rPr>
          <w:szCs w:val="26"/>
          <w:lang w:val="ru-RU"/>
        </w:rPr>
      </w:r>
      <w:r>
        <w:rPr>
          <w:szCs w:val="26"/>
          <w:lang w:val="ru-RU"/>
        </w:rPr>
      </w:r>
    </w:p>
    <w:p>
      <w:pPr>
        <w:pStyle w:val="773"/>
        <w:ind w:left="4678" w:right="0" w:firstLine="0"/>
        <w:jc w:val="center"/>
        <w:rPr>
          <w:b/>
          <w:szCs w:val="26"/>
          <w:lang w:val="ru-RU"/>
        </w:rPr>
      </w:pPr>
      <w:r>
        <w:rPr>
          <w:szCs w:val="26"/>
          <w:lang w:val="ru-RU"/>
        </w:rPr>
        <w:t xml:space="preserve">Приложение</w:t>
      </w:r>
      <w:r>
        <w:rPr>
          <w:b/>
          <w:szCs w:val="26"/>
          <w:lang w:val="ru-RU"/>
        </w:rPr>
      </w:r>
      <w:r>
        <w:rPr>
          <w:b/>
          <w:szCs w:val="26"/>
          <w:lang w:val="ru-RU"/>
        </w:rPr>
      </w:r>
    </w:p>
    <w:p>
      <w:pPr>
        <w:pStyle w:val="773"/>
        <w:ind w:left="4678" w:right="0"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</w:r>
      <w:r>
        <w:rPr>
          <w:b/>
          <w:szCs w:val="26"/>
          <w:lang w:val="ru-RU"/>
        </w:rPr>
      </w:r>
    </w:p>
    <w:p>
      <w:pPr>
        <w:pStyle w:val="621"/>
        <w:ind w:left="4678" w:right="0" w:firstLine="0"/>
        <w:jc w:val="center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УТВЕРЖДЕНА</w:t>
      </w:r>
      <w:r>
        <w:rPr>
          <w:bCs/>
          <w:color w:val="000000"/>
        </w:rPr>
      </w:r>
      <w:r>
        <w:rPr>
          <w:bCs/>
          <w:color w:val="000000"/>
        </w:rPr>
      </w:r>
    </w:p>
    <w:p>
      <w:pPr>
        <w:pStyle w:val="621"/>
        <w:ind w:left="4678" w:right="0" w:firstLine="0"/>
        <w:jc w:val="center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</w:t>
      </w:r>
      <w:r>
        <w:rPr>
          <w:bCs/>
          <w:color w:val="000000"/>
        </w:rPr>
      </w:r>
      <w:r>
        <w:rPr>
          <w:bCs/>
          <w:color w:val="000000"/>
        </w:rPr>
      </w:r>
    </w:p>
    <w:p>
      <w:pPr>
        <w:pStyle w:val="621"/>
        <w:ind w:left="4678" w:right="0" w:firstLine="0"/>
        <w:jc w:val="center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Великоустюгского муниципального округа</w:t>
      </w:r>
      <w:r>
        <w:rPr>
          <w:bCs/>
          <w:color w:val="000000"/>
        </w:rPr>
      </w:r>
      <w:r>
        <w:rPr>
          <w:bCs/>
          <w:color w:val="000000"/>
        </w:rPr>
      </w:r>
    </w:p>
    <w:p>
      <w:pPr>
        <w:pStyle w:val="621"/>
        <w:ind w:left="4678" w:right="0" w:firstLine="0"/>
        <w:jc w:val="center"/>
        <w:shd w:val="clear" w:color="auto" w:fill="ffffff"/>
        <w:rPr>
          <w:b/>
          <w:sz w:val="28"/>
          <w:szCs w:val="28"/>
        </w:rPr>
      </w:pPr>
      <w:r>
        <w:rPr>
          <w:bCs/>
          <w:color w:val="000000"/>
        </w:rPr>
        <w:t xml:space="preserve">от 24.01.2023 № 145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1"/>
        <w:jc w:val="center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Муниципальная программа</w:t>
      </w: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pStyle w:val="621"/>
        <w:jc w:val="center"/>
        <w:shd w:val="clear" w:color="auto" w:fill="ffff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«Экономическое развитие </w:t>
      </w:r>
      <w:r>
        <w:rPr>
          <w:b/>
          <w:sz w:val="26"/>
          <w:szCs w:val="26"/>
        </w:rPr>
        <w:t xml:space="preserve">Великоустюгского</w:t>
      </w:r>
      <w:r>
        <w:rPr>
          <w:b/>
          <w:bCs/>
          <w:color w:val="000000"/>
          <w:sz w:val="26"/>
          <w:szCs w:val="26"/>
        </w:rPr>
        <w:t xml:space="preserve"> муниципального округа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Вологодской области на 2023-2027 годы»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(далее - Программа)</w:t>
      </w: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pStyle w:val="621"/>
        <w:jc w:val="center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pStyle w:val="621"/>
        <w:jc w:val="center"/>
        <w:shd w:val="clear" w:color="auto" w:fill="ffffff"/>
        <w:rPr>
          <w:color w:val="7f7f7f"/>
          <w:szCs w:val="28"/>
        </w:rPr>
      </w:pPr>
      <w:r>
        <w:rPr>
          <w:b/>
          <w:bCs/>
          <w:color w:val="000000"/>
          <w:sz w:val="26"/>
          <w:szCs w:val="26"/>
        </w:rPr>
        <w:t xml:space="preserve">Паспорт Программы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b/>
          <w:color w:val="7f7f7f"/>
          <w:sz w:val="28"/>
          <w:szCs w:val="28"/>
        </w:rPr>
      </w:pPr>
      <w:r>
        <w:rPr>
          <w:color w:val="7f7f7f"/>
          <w:szCs w:val="28"/>
        </w:rPr>
        <w:t xml:space="preserve">округа Вологодской области №793 от 30.03.2023, №76 от 16.01.2024, №414 от 16.02.2024) </w:t>
      </w:r>
      <w:r>
        <w:rPr>
          <w:b/>
          <w:color w:val="7f7f7f"/>
          <w:sz w:val="28"/>
          <w:szCs w:val="28"/>
        </w:rPr>
      </w:r>
      <w:r>
        <w:rPr>
          <w:b/>
          <w:color w:val="7f7f7f"/>
          <w:sz w:val="28"/>
          <w:szCs w:val="28"/>
        </w:rPr>
      </w:r>
    </w:p>
    <w:p>
      <w:pPr>
        <w:pStyle w:val="621"/>
        <w:jc w:val="center"/>
        <w:shd w:val="clear" w:color="auto" w:fill="ffffff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</w:r>
      <w:r>
        <w:rPr>
          <w:b/>
          <w:color w:val="7f7f7f"/>
          <w:sz w:val="28"/>
          <w:szCs w:val="28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6705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Ответственный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исполнитель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szCs w:val="26"/>
              </w:rPr>
              <w:t xml:space="preserve">Управление экономического развития  администрации Великоустюгского муниципального округа</w:t>
            </w:r>
            <w:r>
              <w:rPr>
                <w:bCs/>
                <w:color w:val="000000"/>
                <w:szCs w:val="26"/>
              </w:rPr>
              <w:t xml:space="preserve"> Вологодской области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Подпрограммы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Подпрограмма 1 «Развитие малого и среднего предпринимательства», подпрограмма 2 «Развитие торговли» и подпрограмма 3 «Развитие туризма в Великоустюгском муниципальном округе на 2024-2027 годы»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Цели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78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Создание условий для устойчивого роста экономики, развития малого предпринимательства Великоустюгского муниципального округа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Вологодской области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Задачи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Развитие и совершенствование механизмов поддержки в различных направлениях субъектов малого и среднего предпринимательства, «самозанятых» граждан.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Пропаганда и популяризация предпринимательской деятельности.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3. Увеличение численности работающих субъектов малого и среднего предпринимательства путём формирования благоприятной среды для развития предпринимательства.</w:t>
            </w:r>
            <w:r>
              <w:rPr>
                <w:color w:val="ff0000"/>
                <w:szCs w:val="26"/>
              </w:rPr>
              <w:t xml:space="preserve"> </w:t>
            </w:r>
            <w:r>
              <w:rPr>
                <w:szCs w:val="26"/>
                <w:shd w:val="clear" w:color="auto" w:fill="ffffff"/>
              </w:rPr>
            </w:r>
            <w:r>
              <w:rPr>
                <w:szCs w:val="26"/>
                <w:shd w:val="clear" w:color="auto" w:fill="ffffff"/>
              </w:rPr>
            </w:r>
          </w:p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  <w:shd w:val="clear" w:color="auto" w:fill="ffffff"/>
              </w:rPr>
              <w:t xml:space="preserve">4. Усиление инвестиционной активности на территории округа.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Совершенствование форм и методов координации управления в сфере торговли.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</w:pPr>
            <w:r>
              <w:rPr>
                <w:szCs w:val="26"/>
              </w:rPr>
              <w:t xml:space="preserve">6. Повышение экономической доступности товаров для населения в целях реализации социальной политики. </w:t>
            </w:r>
            <w:r/>
          </w:p>
          <w:p>
            <w:pPr>
              <w:pStyle w:val="621"/>
              <w:jc w:val="both"/>
              <w:rPr>
                <w:rFonts w:eastAsia="Calibri"/>
              </w:rPr>
            </w:pPr>
            <w:r>
              <w:t xml:space="preserve">7. Стимулирование деловой активности и повышение конкуренции в сфере торговой деятельности.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8.Развитие приоритетных туристских проектов «Великий Устюг – родина Деда Мороза» и «Серебряное ожерелье России».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9. Развитие туристско-рекреационного кластера «Великий Устюг – сказочная столица России».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10. Создание и продвижение крупных событийных мероприятий на территории Великоустюгского муниципального округа.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11.Приоритетное развитие культурно-познавательного, событийного, детского, активного, сельского, экологического,  лечебно-оздоровительного,  спортивного, делового туризма.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12. Развитие потенциала сельского туризма, рост туристского потока в сельских поселениях на территории Великоустюгского муниципального округа.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13. Развитие туристской навигации.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14. Создание новых объектов показа и новых туристских маршрутов.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15. Совершенствование системы подготовки и обучения квалифицированных кадров в сфере туризма.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pStyle w:val="621"/>
              <w:jc w:val="both"/>
            </w:pPr>
            <w:r>
              <w:rPr>
                <w:rFonts w:eastAsia="Calibri"/>
              </w:rPr>
              <w:t xml:space="preserve">16. Формирование положительного туристского имиджа на международных, межрегиональных и региональных туристских мероприятиях, средствах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 xml:space="preserve">массовой информации и сети Интернета.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Целевые показатели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(индикаторы)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Перечень целевых показателей муниципальной программы приведён в приложение № 2 к муниципальной программе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Сроки реализации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2023-2027 годы, муниципальная программа реализуется в один этап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Объёмы финансового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обеспечения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bCs/>
                <w:szCs w:val="26"/>
              </w:rPr>
              <w:t xml:space="preserve">Объём финансирования на 2023-2027 годы - </w:t>
            </w:r>
            <w:r>
              <w:t xml:space="preserve">30188,0 </w:t>
            </w:r>
            <w:r>
              <w:rPr>
                <w:bCs/>
                <w:szCs w:val="26"/>
              </w:rPr>
              <w:t xml:space="preserve">тыс. руб.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Ожидаемые результаты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5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В сфере развития предпринимательства - увеличение количества субъ</w:t>
            </w:r>
            <w:r>
              <w:rPr>
                <w:bCs/>
                <w:color w:val="000000"/>
                <w:szCs w:val="26"/>
              </w:rPr>
              <w:t xml:space="preserve">ектов малого и среднего предпринимательства (включая «самозанятых» граждан) в расчёте на 10 тыс. человек населения Великоустюгского округа Вологодской области 1) до 590 единиц; в сфере развития торговли - повышение доступности товаров для населения округа.</w:t>
            </w:r>
            <w:r>
              <w:t xml:space="preserve"> </w:t>
            </w:r>
            <w:r>
              <w:rPr>
                <w:bCs/>
                <w:color w:val="000000"/>
                <w:szCs w:val="26"/>
              </w:rPr>
              <w:t xml:space="preserve">- увеличение числа посетителей, всего по Великоустюгскому муниципальному округу  до 750тысяч  в 2027 году;</w:t>
            </w:r>
            <w:r>
              <w:rPr>
                <w:bCs/>
                <w:color w:val="000000"/>
                <w:szCs w:val="26"/>
              </w:rPr>
            </w:r>
            <w:r>
              <w:rPr>
                <w:bCs/>
                <w:color w:val="000000"/>
                <w:szCs w:val="26"/>
              </w:rPr>
            </w:r>
          </w:p>
          <w:p>
            <w:pPr>
              <w:pStyle w:val="621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2) увеличение количество туристов, всего по Великоустюгскому муниципальному округу до 90 тысяч к 2027 году; </w:t>
            </w:r>
            <w:r>
              <w:rPr>
                <w:bCs/>
                <w:color w:val="000000"/>
                <w:szCs w:val="26"/>
              </w:rPr>
            </w:r>
            <w:r>
              <w:rPr>
                <w:bCs/>
                <w:color w:val="000000"/>
                <w:szCs w:val="26"/>
              </w:rPr>
            </w:r>
          </w:p>
          <w:p>
            <w:pPr>
              <w:pStyle w:val="621"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3) создание не менее 1 нового объекта показа и туристского  маршрута в год; </w:t>
            </w:r>
            <w:r>
              <w:rPr>
                <w:bCs/>
                <w:color w:val="000000"/>
                <w:szCs w:val="26"/>
              </w:rPr>
            </w:r>
            <w:r>
              <w:rPr>
                <w:bCs/>
                <w:color w:val="000000"/>
                <w:szCs w:val="26"/>
              </w:rPr>
            </w:r>
          </w:p>
          <w:p>
            <w:pPr>
              <w:pStyle w:val="621"/>
              <w:jc w:val="both"/>
            </w:pPr>
            <w:r>
              <w:rPr>
                <w:bCs/>
                <w:color w:val="000000"/>
                <w:szCs w:val="26"/>
              </w:rPr>
              <w:t xml:space="preserve">4) публикация не менее 50 материалов о туристском потенциале района в СМИ, сети Интернет и соц. сетях в год</w:t>
            </w:r>
            <w:r/>
          </w:p>
        </w:tc>
      </w:tr>
    </w:tbl>
    <w:p>
      <w:pPr>
        <w:pStyle w:val="621"/>
        <w:jc w:val="center"/>
        <w:shd w:val="clear" w:color="auto" w:fill="ffffff"/>
      </w:pPr>
      <w:r/>
      <w:r/>
    </w:p>
    <w:p>
      <w:pPr>
        <w:pStyle w:val="621"/>
        <w:jc w:val="center"/>
        <w:shd w:val="clear" w:color="auto" w:fill="ffffff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</w:t>
      </w:r>
      <w:r>
        <w:rPr>
          <w:rFonts w:ascii="Times New Roman" w:hAnsi="Times New Roman" w:cs="Times New Roman"/>
          <w:b/>
          <w:sz w:val="26"/>
          <w:szCs w:val="26"/>
        </w:rPr>
        <w:t xml:space="preserve">. Общая характеристика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color w:val="7f7f7f"/>
          <w:szCs w:val="28"/>
        </w:rPr>
        <w:outlineLvl w:val="1"/>
      </w:pPr>
      <w:r>
        <w:rPr>
          <w:rFonts w:ascii="Times New Roman" w:hAnsi="Times New Roman" w:cs="Times New Roman"/>
          <w:b/>
          <w:sz w:val="26"/>
          <w:szCs w:val="26"/>
        </w:rPr>
        <w:t xml:space="preserve">сферы реализации Программы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rFonts w:ascii="Times New Roman" w:hAnsi="Times New Roman" w:cs="Times New Roman"/>
          <w:b/>
          <w:color w:val="7f7f7f"/>
          <w:sz w:val="26"/>
          <w:szCs w:val="26"/>
        </w:rPr>
      </w:pPr>
      <w:r>
        <w:rPr>
          <w:color w:val="7f7f7f"/>
          <w:szCs w:val="28"/>
        </w:rPr>
        <w:t xml:space="preserve">округа Вологодской области  №76 от 16.01.2024) </w:t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color w:val="7f7f7f"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муниципальная программа «Экономическое развитие Великоустюгского муниципального округа Вологодской области на 2023-2026 годы</w:t>
      </w:r>
      <w:r>
        <w:rPr>
          <w:rFonts w:ascii="Times New Roman" w:hAnsi="Times New Roman" w:cs="Times New Roman"/>
          <w:sz w:val="26"/>
          <w:szCs w:val="26"/>
        </w:rPr>
        <w:t xml:space="preserve">» разработана в соответствии с федеральными законами от 06.10.2003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носит комплексный характер и объединяет в себе следующие направления экономики Великоустюгского муниципального округа Вологодской области: малое предпринимательство, торговля и туризм.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</w:t>
      </w:r>
      <w:r>
        <w:rPr>
          <w:rFonts w:ascii="Times New Roman" w:hAnsi="Times New Roman" w:cs="Times New Roman"/>
          <w:sz w:val="26"/>
          <w:szCs w:val="26"/>
        </w:rPr>
        <w:t xml:space="preserve">граммы соответствуют указам Президента Российской Федерации от 21.07.2020 № 474 «О национальных целях развития России до 2030 года» и от 07.05.2018 № 204 «О национальных целях и стратегических задачах развития Россий-ской Федерации до 2024 года», Стратегии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Вологодской области до 2030 года, Стратегии социально-экономического развития Великоустюгского муниципального района на период до 2030 года, Федеральным законом от 24.11.1996 № 132-ФЗ «Об основах туристской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концепцией  федеральной целевой программы «Развитие внутреннего и въездного туризма в Российской Федерации (2019-2025 годы)», утвержденная распоряжением Правительства РФ от 05.05.2018 № 872-р (ред. от 11.07.2019), и включают в себя: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поддержка предпринимательских инициатив населения, содействие населению в организации и помощи ведения предпринимательской деятельности;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создание условий для свободы предпринимательства и конкуренции, развитие механизмов 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увеличение численности занятых в сфере малого и среднего предпринимательства, «самозанятых» граждан;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формирование современной инфраструктуры торговли и повышение территориальной доступности торговых объектов для населения Великоустюгского муниципального округа Вологодской области, в том числе для маломобильных групп населения;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формирование благоприятного инвестиционного климата и стимулирование инвестиционной активности в округе;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развитие выставочно - ярмарочной деятельности;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создание благоприятных условий для обеспечения защиты прав потребителей.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развитие туристских проектов «Великий Устюг – родина Деда Мороза», «Великий Устюг - сказочная столица России» и «Серебряное Ожерелье России». Комплексное развитие туристского кластера «Дед Мороз», в том числе создание </w:t>
      </w:r>
      <w:r>
        <w:rPr>
          <w:rFonts w:ascii="Times New Roman" w:hAnsi="Times New Roman" w:cs="Times New Roman"/>
          <w:sz w:val="26"/>
          <w:szCs w:val="26"/>
        </w:rPr>
        <w:t xml:space="preserve">условий для улучшения туристской инфраструктуры (максимальное использование возможностей вокзала «Великий Устюг» для приема специализированных туристских поездов, реконструкция взлетно-посадочной полосы аэропорта). Увеличение и информационное продвижение к</w:t>
      </w:r>
      <w:r>
        <w:rPr>
          <w:rFonts w:ascii="Times New Roman" w:hAnsi="Times New Roman" w:cs="Times New Roman"/>
          <w:sz w:val="26"/>
          <w:szCs w:val="26"/>
        </w:rPr>
        <w:t xml:space="preserve">рупных событийных мероприятий межрегионального, всероссийского и международного уровня, проводимых на территории Великоустюгского муниципального округа. Повышение качества  туристского продукта и продвижение на внутреннем и международном туристских рынках;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сохранение, поддержка и развитие традиционных народных художественных промыслов округа, повышение уровня профессиональной подготовки персонала в сфере туризма, обеспечение кадровыми ресурсами;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создание условий для дальнейшего развития культурно-познавательного, религиозного, событийного, активного, сельского, лечебно-оздоровительного, спортивного туризма, совершенствование экскурсионной деятельности;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формирование положительного туристского имиджа округа на международных, межрегиональных и региональных мероприятиях, в средствах массовой информации и сети Интернет.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 задачи реализации муниципальной прогр</w:t>
      </w:r>
      <w:r>
        <w:rPr>
          <w:rFonts w:ascii="Times New Roman" w:hAnsi="Times New Roman" w:cs="Times New Roman"/>
          <w:sz w:val="26"/>
          <w:szCs w:val="26"/>
        </w:rPr>
        <w:t xml:space="preserve">аммы, перечень целевых показателей, подпрограмм, а также мероприятий муниципальной программы сформированы на основе указанных приоритетов, а также анализа состояния и перспектив развития экономики Великоустюгского муниципального округа Вологодской области.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 w:orient="portrait"/>
          <w:pgMar w:top="851" w:right="851" w:bottom="851" w:left="851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4 к муниципальной программе содержит информацию о целях и задачах стратегии социально-экономического развития округа, достижение и решение которых будет обеспечено посредством реализации мероприятий муниципальной программы.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992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Программе</w:t>
      </w: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pStyle w:val="770"/>
        <w:ind w:left="0" w:right="0" w:firstLine="709"/>
        <w:jc w:val="right"/>
        <w:widowControl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pStyle w:val="77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 Е Р Е Ч Е Н Ь 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jc w:val="center"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основных мероприятий и финансовое обеспечение </w:t>
      </w:r>
      <w:r>
        <w:rPr>
          <w:rFonts w:ascii="Times New Roman" w:hAnsi="Times New Roman" w:cs="Times New Roman"/>
          <w:b/>
          <w:sz w:val="26"/>
        </w:rPr>
        <w:t xml:space="preserve">реализации муниципальной программы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округа Вологодской области №793 от 30.03.2023, №3088  от 03.11.2023, №76 от 16.01.2024, №414 от 16.02.2024)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</w:r>
      <w:r>
        <w:rPr>
          <w:color w:val="7f7f7f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275"/>
        <w:gridCol w:w="3119"/>
        <w:gridCol w:w="1110"/>
        <w:gridCol w:w="1111"/>
        <w:gridCol w:w="1110"/>
        <w:gridCol w:w="1111"/>
        <w:gridCol w:w="1110"/>
        <w:gridCol w:w="1111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-142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исполнитель,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соисполнитель, 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основного 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мероприятия, мероприятия муниципальной программы (подпрограммы)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непосредственный результат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Источник финансового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обеспечения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Расходы (тыс. руб.)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  <w:r>
              <w:rPr>
                <w:rFonts w:ascii="Times New Roman" w:hAnsi="Times New Roman" w:cs="Times New Roman"/>
                <w:sz w:val="22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период 2023-2027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tabs>
                <w:tab w:val="left" w:pos="709" w:leader="none"/>
              </w:tabs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11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2652,8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9789,7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6138,1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6138,1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5469,3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30188,0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1532,5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6054,1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4359,0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4359,0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4549,0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20853,6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1120,3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3735,6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1779,1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1779,1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920,3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9334,4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подпрограмме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317, 9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2090,9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317, 9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2090,9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подпрограмме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2334,9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6242,1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2039,3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16412,5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1214,6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2506,5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7078,1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из областного бюджета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1120,3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3735,6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1779,1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1779,1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920,3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9334,4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</w:pPr>
            <w: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подпрограмме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3104,6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2980,00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11684,6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3104,6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2980,00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11684,6</w:t>
            </w:r>
            <w:r/>
          </w:p>
        </w:tc>
      </w:tr>
    </w:tbl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</w:pPr>
      <w:r/>
      <w:r/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Программе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муниципальной программы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rFonts w:ascii="Times New Roman" w:hAnsi="Times New Roman" w:cs="Times New Roman"/>
          <w:b/>
          <w:color w:val="7f7f7f"/>
          <w:sz w:val="26"/>
          <w:szCs w:val="26"/>
        </w:rPr>
      </w:pPr>
      <w:r>
        <w:rPr>
          <w:color w:val="7f7f7f"/>
          <w:szCs w:val="28"/>
        </w:rPr>
        <w:t xml:space="preserve">округа Вологодской области  №76 от 16.01.2024) </w:t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color w:val="7f7f7f"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3"/>
        <w:gridCol w:w="3972"/>
        <w:gridCol w:w="12"/>
        <w:gridCol w:w="2679"/>
        <w:gridCol w:w="14"/>
        <w:gridCol w:w="1249"/>
        <w:gridCol w:w="13"/>
        <w:gridCol w:w="14"/>
        <w:gridCol w:w="1109"/>
        <w:gridCol w:w="11"/>
        <w:gridCol w:w="14"/>
        <w:gridCol w:w="1015"/>
        <w:gridCol w:w="96"/>
        <w:gridCol w:w="9"/>
        <w:gridCol w:w="9"/>
        <w:gridCol w:w="902"/>
        <w:gridCol w:w="72"/>
        <w:gridCol w:w="13"/>
        <w:gridCol w:w="931"/>
        <w:gridCol w:w="62"/>
        <w:gridCol w:w="954"/>
        <w:gridCol w:w="44"/>
        <w:gridCol w:w="972"/>
        <w:gridCol w:w="23"/>
        <w:gridCol w:w="993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№ </w:t>
            </w:r>
            <w:r>
              <w:rPr>
                <w:sz w:val="22"/>
                <w:lang w:eastAsia="ru-RU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Задача, направленная 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на достижение цели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Наименование 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целевого 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показателя 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(индикатора)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Единица 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измерения</w:t>
            </w:r>
            <w:r/>
          </w:p>
        </w:tc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Значение целевого показателя (индикатора) по годам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2"/>
                <w:szCs w:val="20"/>
                <w:lang w:eastAsia="ru-RU"/>
              </w:rPr>
            </w:pPr>
            <w:r>
              <w:rPr>
                <w:rFonts w:ascii="Arial" w:hAnsi="Arial" w:cs="Arial"/>
                <w:sz w:val="22"/>
                <w:szCs w:val="20"/>
                <w:lang w:eastAsia="ru-RU"/>
              </w:rPr>
            </w:r>
            <w:r>
              <w:rPr>
                <w:rFonts w:ascii="Arial" w:hAnsi="Arial" w:cs="Arial"/>
                <w:sz w:val="22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отчётное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оценочное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4" w:type="dxa"/>
            <w:vAlign w:val="top"/>
            <w:textDirection w:val="lrTb"/>
            <w:noWrap w:val="false"/>
          </w:tcPr>
          <w:p>
            <w:pPr>
              <w:pStyle w:val="621"/>
              <w:ind w:left="0" w:right="0" w:firstLine="720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плановое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2"/>
                <w:szCs w:val="20"/>
                <w:lang w:eastAsia="ru-RU"/>
              </w:rPr>
            </w:pPr>
            <w:r>
              <w:rPr>
                <w:rFonts w:ascii="Arial" w:hAnsi="Arial" w:cs="Arial"/>
                <w:sz w:val="22"/>
                <w:szCs w:val="20"/>
                <w:lang w:eastAsia="ru-RU"/>
              </w:rPr>
            </w:r>
            <w:r>
              <w:rPr>
                <w:rFonts w:ascii="Arial" w:hAnsi="Arial" w:cs="Arial"/>
                <w:sz w:val="22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2021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2022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5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6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11</w:t>
            </w:r>
            <w:r/>
          </w:p>
        </w:tc>
      </w:tr>
      <w:tr>
        <w:tblPrEx/>
        <w:trPr>
          <w:trHeight w:val="23"/>
        </w:trPr>
        <w:tc>
          <w:tcPr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Цель: создание условий для устойчивого роста экономики,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ind w:left="0" w:right="0" w:firstLine="720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развития малого предпринимательства Великоустюгского муниципального округа</w:t>
            </w:r>
            <w:r>
              <w:rPr>
                <w:bCs/>
                <w:color w:val="000000"/>
                <w:lang w:eastAsia="ru-RU"/>
              </w:rPr>
              <w:t xml:space="preserve"> Вологодской области,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ind w:left="0" w:right="0" w:firstLine="720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благоприятных условий для динамичного развития туризма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на территории Великоустюгского муниципального округа</w:t>
            </w:r>
            <w:r/>
          </w:p>
        </w:tc>
      </w:tr>
      <w:tr>
        <w:tblPrEx/>
        <w:trPr>
          <w:trHeight w:val="23"/>
        </w:trPr>
        <w:tc>
          <w:tcPr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lang w:eastAsia="ru-RU"/>
              </w:rPr>
              <w:t xml:space="preserve">подпрограмма 1 «Развитие малого и среднего предпринимательства»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Развитие и совершенствование механизмов поддержки в различных направлениях субъектов малого и среднего предпринимательства (в том числе социальных предприятий), «самозанятых» граждан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субъектов малого и среднего предпринимательства (включая «самозанятых» граждан)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в расчёте на 10 тыс. человек населения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Единиц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на 10 000 жителей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448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516,2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538,8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552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566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590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Пропаганда и популяризация предпринимательской 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ind w:left="0" w:right="0" w:firstLine="720"/>
              <w:jc w:val="both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Увеличение численности работающих субъектов малого и среднего предпринимательства путём формирования благоприятной среды для развития предпринимательства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Усиление инвестиционной активности на территории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lang w:eastAsia="ru-RU"/>
              </w:rPr>
              <w:t xml:space="preserve">подпрограмма 2 «Развитие торговли»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lang w:eastAsia="ru-RU"/>
              </w:rPr>
              <w:t xml:space="preserve">Совершенствование форм и методов координации управления в сфере торговли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Доля малонаселённых и труднодоступных населённых пунктов, в которые фактически осуществляется доставка социально значимых товаров, относительно количества малонаселённых и труднодоступных населённых пунктов</w:t>
            </w:r>
            <w:r>
              <w:rPr>
                <w:shd w:val="clear" w:color="auto" w:fill="ffffff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%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ind w:left="0" w:right="0" w:firstLine="185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100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6.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lang w:eastAsia="ru-RU"/>
              </w:rPr>
              <w:t xml:space="preserve">Повышение экономической доступности товаров для населения в целях реализации социальной политики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7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</w:tr>
      <w:tr>
        <w:tblPrEx/>
        <w:trPr>
          <w:trHeight w:val="17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7.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lang w:eastAsia="ru-RU"/>
              </w:rPr>
              <w:t xml:space="preserve">Стимулирование деловой активности и повышение конкуренции в сфере торговой 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Расширение возможности участия малого и среднего предпринимательства в государственных закупках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Ед.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не менее 1000</w:t>
            </w:r>
            <w:r/>
          </w:p>
        </w:tc>
      </w:tr>
      <w:tr>
        <w:tblPrEx/>
        <w:trPr>
          <w:trHeight w:val="23"/>
        </w:trPr>
        <w:tc>
          <w:tcPr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  <w:lang w:eastAsia="ru-RU"/>
              </w:rPr>
              <w:t xml:space="preserve">подпрограмма 3 «Развитие туризма»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Развитие приоритетных туристских проектов «Великий Устюг – родина Деда Мороза» и «Серебряное ожерелье России»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Число посетителей, всего по округа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Тыс.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человек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367,3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496,0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550,0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600,0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650,0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750,0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Развитие туристско-рекреационного кластера «Великий Устюг – сказочная столица России»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Создание и продвижение крупных событийных мероприятий на территории Великоустюгского муниципального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shd w:val="clear" w:color="auto" w:fill="ffffff"/>
                <w:lang w:eastAsia="ru-RU"/>
              </w:rPr>
              <w:t xml:space="preserve">Развитие туристской навигации.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ind w:left="0" w:right="0" w:firstLine="720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ind w:left="0" w:right="0" w:firstLine="720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Приоритетное развитие культурно-познавательного, событийного, детского, активного, сельского, экологического, лечебнооздорови-тель-ного, спортивного, делового туризма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Количество туристов, всего по округу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Тыс.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человек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41,6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59,0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65,00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75,00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80,00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90,00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Совершенствование системы подготовки и обучения квалифицированных кадров в сфере туризма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Развитие потенциала сельского туризма, рост туристского потока в сельских поселениях на территории Великоустюгского муниципального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</w:r>
            <w:r>
              <w:rPr>
                <w:shd w:val="clear" w:color="auto" w:fill="ffffff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Создание новых объектов показа и новых туристских маршрутов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Количество туристских маршрутов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Ед.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54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4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  <w:lang w:eastAsia="ru-RU"/>
              </w:rPr>
              <w:t xml:space="preserve">Формирование положительного туристского имиджа на международных, межрегиональных и региональных туристских мероприятиях, средствах массовой информации и сети Интернета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публикаций в СМИ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и сети интернет в сфере туризма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Шт.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Не менее 50</w:t>
            </w:r>
            <w:r/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Программе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целевых показателей (индикаторов)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ind w:left="0" w:right="0" w:firstLine="0"/>
        <w:jc w:val="center"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Великоустюгского муниципального округа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Вологодской области на 2023-2026 годы»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rFonts w:ascii="Times New Roman" w:hAnsi="Times New Roman" w:cs="Times New Roman"/>
          <w:b/>
          <w:color w:val="7f7f7f"/>
          <w:sz w:val="26"/>
          <w:szCs w:val="26"/>
        </w:rPr>
      </w:pPr>
      <w:r>
        <w:rPr>
          <w:color w:val="7f7f7f"/>
          <w:szCs w:val="28"/>
        </w:rPr>
        <w:t xml:space="preserve">округа Вологодской области  №76 от 16.01.2024) </w:t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color w:val="7f7f7f"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color w:val="7f7f7f"/>
          <w:sz w:val="26"/>
          <w:szCs w:val="26"/>
        </w:rPr>
      </w:r>
      <w:r>
        <w:rPr>
          <w:rFonts w:ascii="Times New Roman" w:hAnsi="Times New Roman" w:cs="Times New Roman"/>
          <w:b/>
          <w:color w:val="7f7f7f"/>
          <w:sz w:val="26"/>
          <w:szCs w:val="26"/>
        </w:rPr>
      </w:r>
    </w:p>
    <w:p>
      <w:pPr>
        <w:pStyle w:val="621"/>
        <w:jc w:val="center"/>
        <w:widowControl w:val="off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</w:r>
      <w:r>
        <w:rPr>
          <w:rFonts w:cs="Times New Roman"/>
          <w:b/>
          <w:sz w:val="26"/>
          <w:szCs w:val="26"/>
          <w:lang w:eastAsia="ru-RU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"/>
        <w:gridCol w:w="3064"/>
        <w:gridCol w:w="1049"/>
        <w:gridCol w:w="2072"/>
        <w:gridCol w:w="1418"/>
        <w:gridCol w:w="1986"/>
        <w:gridCol w:w="2126"/>
        <w:gridCol w:w="1701"/>
        <w:gridCol w:w="1472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№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целевого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Единица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Определение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целевого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Временные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характеристики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целевого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показателя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Алгоритм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(формула)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и методологические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пояснения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 целевому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показателю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(индикатору)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Показатели,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используемые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в формуле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Метод сбора информации, индекс формы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отчётности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сбор данных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 целевому показателю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(индикатору) 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9</w:t>
            </w:r>
            <w:r/>
          </w:p>
        </w:tc>
      </w:tr>
      <w:tr>
        <w:tblPrEx/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Количество субъектов малого и среднего предпринимательства (включая «самозанятых» граждан) в расчёте на 10 тыс.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Единиц на 1000 жителей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Отношение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общего количества субъектов МСП, включая «самозанятых» граждан на 1 тыс.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ind w:left="113" w:right="113" w:firstLine="0"/>
              <w:jc w:val="center"/>
              <w:widowControl w:val="off"/>
            </w:pPr>
            <w:r>
              <w:rPr>
                <w:lang w:eastAsia="ru-RU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 = К/ Ж *</w:t>
            </w: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b/>
                <w:lang w:eastAsia="ru-RU"/>
              </w:rPr>
              <w:t xml:space="preserve">(10 000)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С - </w:t>
            </w:r>
            <w:r>
              <w:rPr>
                <w:lang w:eastAsia="ru-RU"/>
              </w:rPr>
              <w:t xml:space="preserve">количество субъектов МСП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на 1000 жителей округа;</w:t>
            </w: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</w:t>
            </w:r>
            <w:r>
              <w:rPr>
                <w:lang w:eastAsia="ru-RU"/>
              </w:rPr>
              <w:t xml:space="preserve"> - количество субъектов МСП,</w:t>
            </w: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b/>
                <w:lang w:eastAsia="ru-RU"/>
              </w:rPr>
              <w:t xml:space="preserve">Ж</w:t>
            </w:r>
            <w:r>
              <w:rPr>
                <w:lang w:eastAsia="ru-RU"/>
              </w:rPr>
              <w:t xml:space="preserve">- количество жителей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Данные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Единого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реестра субъектов МСП,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статистическая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Вологдастата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  <w:p>
            <w:pPr>
              <w:pStyle w:val="621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экономического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развития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Доля малонаселённых и труднодоступных населённых пунктов, в которые фактически осуществляется доставка социально значимых товаров, относительно количества малонаселённых и труднодоступных населённых пунктов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Отношение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количества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малонаселённых и труднодоступных населённых пунктов, в которые фактически осуществлялась доставка в отчётном периоде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 общему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количеству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малонаселённых и труднодоступных населённых пунктов Великоустюгского муниципального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lang w:eastAsia="ru-RU"/>
              </w:rPr>
              <w:t xml:space="preserve">Д = Пф / По х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</w:t>
            </w:r>
            <w:r>
              <w:rPr>
                <w:lang w:eastAsia="ru-RU"/>
              </w:rPr>
              <w:t xml:space="preserve"> - доля малонаселённых и труднодоступных населённых пунктов;</w:t>
            </w: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Пф</w:t>
            </w:r>
            <w:r>
              <w:rPr>
                <w:lang w:eastAsia="ru-RU"/>
              </w:rPr>
              <w:t xml:space="preserve"> - количество малонаселённых и труднодоступных населённых пунктов, в которые фактически осуществлялась доставка в отчётном периоде;</w:t>
            </w: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По </w:t>
            </w:r>
            <w:r>
              <w:rPr>
                <w:lang w:eastAsia="ru-RU"/>
              </w:rPr>
              <w:t xml:space="preserve">- общее количество малонаселённых и труднодоступных населённых пунктов Великоустюгского муниципального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Статистическая информация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Вологдастата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Управление экономического развития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Расширение возможности участия малого и среднего предпринимательства в государственных закупках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</w:r>
            <w:r>
              <w:rPr>
                <w:b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Данные из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отчёта системы «Электронный магазин»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Число посетителей, всего по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Тыс. 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Число посетителей, всего по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Великоустюгскому муниципальному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Годовая, по состоянию на 31 декабря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отчетного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Экскурсанты  по объектам показа + туристы, проживающие в коллективных и индивидуальных  средствах размещения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(Данные предоставленные объектами показа  и коллективными  и индивидуальными средствами  размещения)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2"/>
                <w:lang w:eastAsia="ru-RU"/>
              </w:rPr>
              <w:t xml:space="preserve">Управление экономического развития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Количество туристов, всего по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Тыс. 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туристов, всего по Великоустюгскому муниципальному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Годовая,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 состоянию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на 31 декабря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отчетного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Туристы, проживающие в коллективных и индивидуальных средствах размещения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(Данные предоставленные коллективными и индивидуальными  средствами размещения)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Количество туристских маршрутов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туристских маршрутов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Годовая, на основании запроса в туристические фирмы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Ответ на запрос от туристических фирм, на сайтах туристских фирм (сбор информации)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Количество публикаций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Количество статей, публикаций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Годовая, на основании публикаций в СМИ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сети Интернет за отчетный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Статьи, публикации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</w:tc>
      </w:tr>
    </w:tbl>
    <w:p>
      <w:pPr>
        <w:pStyle w:val="621"/>
        <w:widowControl w:val="off"/>
        <w:rPr>
          <w:szCs w:val="26"/>
          <w:lang w:eastAsia="ru-RU"/>
        </w:rPr>
      </w:pPr>
      <w:r>
        <w:rPr>
          <w:szCs w:val="26"/>
          <w:lang w:eastAsia="ru-RU"/>
        </w:rPr>
      </w:r>
      <w:r>
        <w:rPr>
          <w:szCs w:val="26"/>
          <w:lang w:eastAsia="ru-RU"/>
        </w:rPr>
      </w:r>
    </w:p>
    <w:p>
      <w:pPr>
        <w:pStyle w:val="621"/>
        <w:jc w:val="center"/>
        <w:widowControl w:val="off"/>
        <w:rPr>
          <w:szCs w:val="26"/>
          <w:lang w:eastAsia="ru-RU"/>
        </w:rPr>
      </w:pPr>
      <w:r>
        <w:rPr>
          <w:szCs w:val="26"/>
          <w:lang w:eastAsia="ru-RU"/>
        </w:rPr>
      </w:r>
      <w:r>
        <w:rPr>
          <w:szCs w:val="26"/>
          <w:lang w:eastAsia="ru-RU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</w:r>
      <w:r>
        <w:rPr>
          <w:rFonts w:ascii="Times New Roman" w:hAnsi="Times New Roman" w:cs="Times New Roman"/>
          <w:sz w:val="24"/>
          <w:szCs w:val="26"/>
          <w:lang w:eastAsia="ru-RU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к Программе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Ц Е Н К А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влияния реализации муниципальной программы на достижение показателей стратегии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ind w:left="0" w:right="0" w:firstLine="0"/>
        <w:jc w:val="center"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развития округа в сфере реализации муниципальной программы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округа Вологодской области  №76 от 16.01.2024)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770"/>
        <w:ind w:left="0" w:right="0" w:firstLine="0"/>
        <w:jc w:val="center"/>
        <w:rPr>
          <w:color w:val="7f7f7f"/>
          <w:szCs w:val="28"/>
        </w:rPr>
      </w:pPr>
      <w:r>
        <w:rPr>
          <w:color w:val="7f7f7f"/>
          <w:szCs w:val="28"/>
        </w:rPr>
      </w:r>
      <w:r>
        <w:rPr>
          <w:color w:val="7f7f7f"/>
          <w:szCs w:val="28"/>
        </w:rPr>
      </w:r>
    </w:p>
    <w:tbl>
      <w:tblPr>
        <w:tblW w:w="0" w:type="auto"/>
        <w:tblInd w:w="-28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98"/>
        <w:gridCol w:w="6"/>
        <w:gridCol w:w="1275"/>
        <w:gridCol w:w="993"/>
        <w:gridCol w:w="1280"/>
        <w:gridCol w:w="93"/>
        <w:gridCol w:w="174"/>
        <w:gridCol w:w="12"/>
        <w:gridCol w:w="994"/>
        <w:gridCol w:w="1416"/>
        <w:gridCol w:w="572"/>
        <w:gridCol w:w="241"/>
        <w:gridCol w:w="321"/>
        <w:gridCol w:w="401"/>
        <w:gridCol w:w="32"/>
        <w:gridCol w:w="190"/>
        <w:gridCol w:w="19"/>
        <w:gridCol w:w="492"/>
        <w:gridCol w:w="231"/>
        <w:gridCol w:w="60"/>
        <w:gridCol w:w="142"/>
        <w:gridCol w:w="39"/>
        <w:gridCol w:w="520"/>
        <w:gridCol w:w="150"/>
        <w:gridCol w:w="53"/>
        <w:gridCol w:w="182"/>
        <w:gridCol w:w="59"/>
        <w:gridCol w:w="690"/>
        <w:gridCol w:w="8"/>
        <w:gridCol w:w="25"/>
        <w:gridCol w:w="162"/>
        <w:gridCol w:w="79"/>
        <w:gridCol w:w="726"/>
      </w:tblGrid>
      <w:tr>
        <w:tblPrEx/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Цели, задачи стратегии, мероприятия муниципальной 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показателя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стратегии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Единица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измерения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Способ достижения показателя,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установленного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стратегией</w:t>
            </w:r>
            <w:r/>
          </w:p>
        </w:tc>
        <w:tc>
          <w:tcPr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Значения показателя стратегии</w:t>
            </w:r>
            <w:r/>
          </w:p>
        </w:tc>
      </w:tr>
      <w:tr>
        <w:tblPrEx/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2023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2024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2025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2026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2027</w:t>
            </w:r>
            <w:r/>
          </w:p>
        </w:tc>
      </w:tr>
      <w:tr>
        <w:tblPrEx/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3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5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6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8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9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Цель:</w:t>
            </w:r>
            <w:r>
              <w:rPr>
                <w:lang w:eastAsia="ru-RU"/>
              </w:rPr>
              <w:t xml:space="preserve"> Великоустюгский муниципальный округ Вологодской области к 2030 году - это округ,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котором создана благоприятная конкурентная среда, предпринимательский климат и условия для ведения бизнеса,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привлекательные для действующих и новых участников рынка.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Великоустюгский муниципальный округ к 2030 году – успешно развивающийся туристский центр для детского и семейного отдыха, предлагающий к услугам экскурсионные программы и туристские маршруты в р</w:t>
            </w:r>
            <w:r>
              <w:rPr>
                <w:lang w:eastAsia="ru-RU"/>
              </w:rPr>
              <w:t xml:space="preserve">амках культурно-познавательного, религиозного, событийного, сельского, экологического, активного, лечебно-оздоровительного спортивного туризма. Развитая сеть туристской и транспортной инфраструктуры, большой ассортимент туристских продуктов высокого качест</w:t>
            </w:r>
            <w:r>
              <w:rPr>
                <w:lang w:eastAsia="ru-RU"/>
              </w:rPr>
              <w:t xml:space="preserve">ва обеспечиваю безопасный, комфортный и привлекательный отдых для российских и иностранных туристов. Великоустюгский муниципальный округ среди муниципальных образований Вологодской области занимает не ниже 3 места в области по количеству посетителей округа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Задача 1:</w:t>
            </w:r>
            <w:r>
              <w:rPr>
                <w:lang w:eastAsia="ru-RU"/>
              </w:rPr>
              <w:t xml:space="preserve"> снижение уровня административных барьеров, создание конкурентной среды, легализация «теневого» сектора 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на пути развития малого и среднего предпринимательства через реализацию открытой политики взаимодействия власти и бизнеса.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Поиск возможностей расширения имущественной, консультационной, финансовой и информационной поддержки субъектов малого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среднего предпринимательства. Формирование благоприятного отношения в обществе к предпринимателю через пропаганду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популяризацию малого и среднего предпринимательства, в том числе привлечение к участию в конкурсах,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рекламно-выставочной деятельности. Вовлечение молодёжи в предпринимательскую деятельность,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поддержка и пропаганда молодёжного предпринимательства. Оказание консультативной помощи субъектам малого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среднего предпринимательства в области подготовки, переподготовки и повышения квалификации кадров,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том числе среди экономически неактивного населения (безработных и пенсионеров, инвалидов)</w:t>
            </w:r>
            <w:r/>
          </w:p>
        </w:tc>
      </w:tr>
      <w:tr>
        <w:tblPrEx/>
        <w:trPr>
          <w:trHeight w:val="2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9" w:type="dxa"/>
            <w:vAlign w:val="top"/>
            <w:textDirection w:val="lrTb"/>
            <w:noWrap w:val="false"/>
          </w:tcPr>
          <w:p>
            <w:pPr>
              <w:pStyle w:val="621"/>
              <w:ind w:left="34" w:right="0" w:firstLine="0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1.Формирование благоприятной внешней среды для субъектов малого и среднего предпринимательства.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ind w:left="34" w:right="0" w:firstLine="0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2. Оказание имущественной и финансовой поддержки субъектам малого и среднего предпринимательства.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ind w:left="34" w:right="0" w:firstLine="0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3. Информационно-консультационная поддержка субъектов малого и среднего предпринимательства.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ind w:left="34" w:right="0" w:firstLine="0"/>
              <w:jc w:val="both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4. Пропаганда и популяризация предпринимательской деятельности.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5.</w:t>
            </w:r>
            <w:r>
              <w:rPr>
                <w:color w:val="000000"/>
                <w:lang w:eastAsia="ru-RU"/>
              </w:rPr>
              <w:t xml:space="preserve"> Создание благоприятных условий и пре-доставление преференций для развития мно-гоформатной торговли и мобильной торговли в малонаселённых и труднодоступных населённых пунктах.</w:t>
            </w:r>
            <w:r>
              <w:rPr>
                <w:color w:val="000000"/>
                <w:lang w:eastAsia="ru-RU"/>
              </w:rPr>
            </w:r>
            <w:r>
              <w:rPr>
                <w:color w:val="000000"/>
                <w:lang w:eastAsia="ru-RU"/>
              </w:rPr>
            </w:r>
          </w:p>
          <w:p>
            <w:pPr>
              <w:pStyle w:val="621"/>
              <w:jc w:val="both"/>
            </w:pPr>
            <w:r>
              <w:rPr>
                <w:color w:val="000000"/>
                <w:lang w:eastAsia="ru-RU"/>
              </w:rPr>
              <w:t xml:space="preserve">6. Создание условий для продвижения продукции местного производства, в том числе маркируемой товарным знаком «Настоящий Вологодский продукт», на внутреннем и внешнем продовольственных рынках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Число субъектов малого и среднего предпринимательства в расчёте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на 10 тысяч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основного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мероприятия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538,8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552,0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566,0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590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Задача 2:</w:t>
            </w:r>
            <w:r>
              <w:rPr>
                <w:lang w:eastAsia="ru-RU"/>
              </w:rPr>
              <w:t xml:space="preserve"> создание условий для обеспечения доступа субъектов малого и среднего бизнеса к закупкам товаров, работ,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услуг для государственных и муниципальных нужд, компаний с государственным участием и крупных организаций </w:t>
            </w:r>
            <w:r>
              <w:rPr>
                <w:shd w:val="clear" w:color="auto" w:fill="ffffff"/>
                <w:lang w:eastAsia="ru-RU"/>
              </w:rPr>
              <w:t xml:space="preserve">округа</w:t>
            </w:r>
            <w:r>
              <w:rPr>
                <w:lang w:eastAsia="ru-RU"/>
              </w:rPr>
              <w:t xml:space="preserve">.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Проведение работы по насыщению товарного рынка конкурентоспособной продукцией и услугами местного производства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Оказание имущественной и финансовой поддержки субъектам малого и среднего предпринимательства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Доля закупок малых объёмов, проведённых в системе «Электронны</w:t>
            </w:r>
            <w:r>
              <w:rPr>
                <w:lang w:eastAsia="ru-RU"/>
              </w:rPr>
              <w:t xml:space="preserve">й магазин», от общего объёма закупок, проведённых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%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основного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мероприятия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45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50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  <w:lang w:eastAsia="ru-RU"/>
              </w:rPr>
              <w:t xml:space="preserve">Задача 3:</w:t>
            </w:r>
            <w:r>
              <w:rPr>
                <w:lang w:eastAsia="ru-RU"/>
              </w:rPr>
              <w:t xml:space="preserve">Развитие туристских проектов «Великий Устюг – родина  Деда Мороза», «Великий Устюг - сказочная столица России» и «Серебряное Ожерелье России». Комплексное развитие туристского кластера «Дед Мороз», в том числе создание</w:t>
            </w:r>
            <w:r>
              <w:rPr>
                <w:lang w:eastAsia="ru-RU"/>
              </w:rPr>
              <w:t xml:space="preserve"> условий для улучшения туристской инфраструктуры (максимальное использование возможностей вокзала «Великий Устюг» для приема специализированных туристских поездов, реконструкция взлетно-посадочной полосы аэропорта). Увеличение и информационное продвижение </w:t>
            </w:r>
            <w:r>
              <w:rPr>
                <w:lang w:eastAsia="ru-RU"/>
              </w:rPr>
              <w:t xml:space="preserve">крупных событийных мероприятий межрегионального, всероссийского и международного уровня, проводимых на территории Великоустюгского муниципального округа. Повышение качества  туристского продукта и продвижение на внутреннем и международном туристских рынках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rFonts w:ascii="Arial" w:hAnsi="Arial" w:cs="Arial"/>
                <w:lang w:eastAsia="ru-RU"/>
              </w:rPr>
            </w:pPr>
            <w:r>
              <w:rPr>
                <w:lang w:eastAsia="ru-RU"/>
              </w:rPr>
              <w:t xml:space="preserve">Формирование комфортной туристс-кой среды</w:t>
            </w: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  <w:p>
            <w:pPr>
              <w:pStyle w:val="621"/>
              <w:ind w:left="649" w:right="0" w:firstLine="0"/>
              <w:jc w:val="center"/>
              <w:widowControl w:val="off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</w:r>
            <w:r>
              <w:rPr>
                <w:rFonts w:ascii="Arial" w:hAnsi="Arial" w:cs="Arial"/>
                <w:lang w:eastAsia="ru-RU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Число посетителей, всего по округа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Тыс. чел.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 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основного мероприятия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-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600,0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650,0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750,0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  <w:lang w:eastAsia="ru-RU"/>
              </w:rPr>
              <w:t xml:space="preserve">Задача 4. </w:t>
            </w:r>
            <w:r>
              <w:rPr>
                <w:lang w:eastAsia="ru-RU"/>
              </w:rPr>
              <w:t xml:space="preserve"> Сохранение, поддержка и развитие традиционных народных художественных промыслов округа, повышение уровня профессиональной подготовки персонала в сфере туризма, обеспечение кадровыми ресурсами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Подготовка кадров для сферы туриз-ма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Количество туристов, всего по округу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Тыс. чел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 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основного мероприятия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-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90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1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2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4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5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6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  <w:lang w:eastAsia="ru-RU"/>
              </w:rPr>
              <w:t xml:space="preserve">9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  <w:lang w:eastAsia="ru-RU"/>
              </w:rPr>
              <w:t xml:space="preserve">Задача 5.</w:t>
            </w:r>
            <w:r>
              <w:rPr>
                <w:lang w:eastAsia="ru-RU"/>
              </w:rPr>
              <w:t xml:space="preserve">  Создание условий для дальнейшего развития культурно-познавательного, религиозного, событийного, активного, сельского, лечебно-оздоровительного, спортивного туризма, совершенствование экскурсионной деятельности.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lang w:eastAsia="ru-RU"/>
              </w:rPr>
              <w:t xml:space="preserve">Создание новых объектов показа и новых туристских маршрутов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Количество туристских маршрутов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Ед.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 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основного мероприятия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-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56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58</w:t>
            </w:r>
            <w:r/>
          </w:p>
        </w:tc>
      </w:tr>
      <w:tr>
        <w:tblPrEx/>
        <w:trPr>
          <w:trHeight w:val="23"/>
        </w:trPr>
        <w:tc>
          <w:tcPr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35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  <w:lang w:eastAsia="ru-RU"/>
              </w:rPr>
              <w:t xml:space="preserve">Задача 6.</w:t>
            </w:r>
            <w:r>
              <w:rPr>
                <w:lang w:eastAsia="ru-RU"/>
              </w:rPr>
              <w:t xml:space="preserve"> Формирование положительного туристского имиджа округа на международных, межрегиональных и региональных мероприятиях, в средствах массовой информации и сети Интернет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lang w:eastAsia="ru-RU"/>
              </w:rPr>
              <w:t xml:space="preserve">Информационное обеспечение туристской деятельности и продвижение туристского продукта округа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Количество публикаций в СМИ и сети интернет в сфере туризма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lang w:eastAsia="ru-RU"/>
              </w:rPr>
              <w:t xml:space="preserve">Шт.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с учётом реализации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  <w:rPr>
                <w:lang w:eastAsia="ru-RU"/>
              </w:rPr>
            </w:pPr>
            <w:r>
              <w:rPr>
                <w:lang w:eastAsia="ru-RU"/>
              </w:rPr>
              <w:t xml:space="preserve">основного</w:t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lang w:eastAsia="ru-RU"/>
              </w:rPr>
              <w:t xml:space="preserve">мероприятия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-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Не менее 50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Не менее 50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Не менее 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lang w:eastAsia="ru-RU"/>
              </w:rPr>
              <w:t xml:space="preserve">Не менее 50</w:t>
            </w:r>
            <w:r/>
          </w:p>
        </w:tc>
      </w:tr>
    </w:tbl>
    <w:p>
      <w:pPr>
        <w:pStyle w:val="621"/>
        <w:jc w:val="center"/>
        <w:shd w:val="clear" w:color="auto" w:fill="ffffff"/>
        <w:rPr>
          <w:lang w:eastAsia="ru-RU"/>
        </w:rPr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851" w:right="851" w:bottom="851" w:left="851" w:header="709" w:footer="709" w:gutter="0"/>
          <w:cols w:num="1" w:sep="0" w:space="1701" w:equalWidth="1"/>
          <w:docGrid w:linePitch="360"/>
        </w:sectPr>
      </w:pPr>
      <w:r>
        <w:rPr>
          <w:lang w:eastAsia="ru-RU"/>
        </w:rPr>
      </w:r>
      <w:r>
        <w:rPr>
          <w:lang w:eastAsia="ru-RU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</w:r>
      <w:r>
        <w:rPr>
          <w:rFonts w:ascii="Times New Roman" w:hAnsi="Times New Roman" w:cs="Times New Roman"/>
          <w:sz w:val="24"/>
          <w:szCs w:val="26"/>
          <w:lang w:eastAsia="ru-RU"/>
        </w:rPr>
      </w:r>
    </w:p>
    <w:p>
      <w:pPr>
        <w:pStyle w:val="770"/>
        <w:ind w:left="4678" w:right="0" w:firstLine="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Приложение № 5 к Программе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709"/>
        <w:jc w:val="righ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center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Великоустюгского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ind w:left="0" w:right="0" w:firstLine="0"/>
        <w:jc w:val="center"/>
        <w:widowControl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Вологодской области на 2023-2026 годы»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постановления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</w:pPr>
      <w:r>
        <w:rPr>
          <w:color w:val="7f7f7f"/>
          <w:szCs w:val="28"/>
        </w:rPr>
        <w:t xml:space="preserve">округа Вологодской области №3088  от 03.11.2023, №76 от 16.01.2024, №414 от 16.02.2024) </w:t>
      </w:r>
      <w:r/>
    </w:p>
    <w:p>
      <w:pPr>
        <w:pStyle w:val="770"/>
        <w:ind w:left="0" w:right="0" w:firstLine="0"/>
        <w:jc w:val="center"/>
        <w:widowControl/>
      </w:pPr>
      <w:r/>
      <w:r/>
    </w:p>
    <w:p>
      <w:pPr>
        <w:pStyle w:val="621"/>
        <w:jc w:val="right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sz w:val="22"/>
          <w:szCs w:val="26"/>
          <w:lang w:eastAsia="ru-RU"/>
        </w:rPr>
        <w:t xml:space="preserve">(тыс. руб.)</w:t>
      </w:r>
      <w:r>
        <w:rPr>
          <w:rFonts w:ascii="Times New Roman" w:hAnsi="Times New Roman" w:cs="Times New Roman"/>
          <w:sz w:val="24"/>
          <w:szCs w:val="26"/>
          <w:lang w:eastAsia="ru-RU"/>
        </w:rPr>
      </w:r>
      <w:r>
        <w:rPr>
          <w:rFonts w:ascii="Times New Roman" w:hAnsi="Times New Roman" w:cs="Times New Roman"/>
          <w:sz w:val="24"/>
          <w:szCs w:val="26"/>
          <w:lang w:eastAsia="ru-RU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</w:r>
      <w:r>
        <w:rPr>
          <w:rFonts w:ascii="Times New Roman" w:hAnsi="Times New Roman" w:cs="Times New Roman"/>
          <w:sz w:val="24"/>
          <w:szCs w:val="26"/>
          <w:lang w:eastAsia="ru-RU"/>
        </w:rPr>
      </w:r>
    </w:p>
    <w:tbl>
      <w:tblPr>
        <w:tblW w:w="0" w:type="auto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140"/>
        <w:gridCol w:w="1654"/>
        <w:gridCol w:w="1156"/>
        <w:gridCol w:w="1156"/>
        <w:gridCol w:w="996"/>
        <w:gridCol w:w="1075"/>
        <w:gridCol w:w="74"/>
        <w:gridCol w:w="1119"/>
        <w:gridCol w:w="11"/>
      </w:tblGrid>
      <w:tr>
        <w:tblPrEx/>
        <w:trPr>
          <w:cantSplit/>
          <w:trHeight w:val="299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140" w:type="dxa"/>
            <w:vAlign w:val="top"/>
            <w:vMerge w:val="restart"/>
            <w:textDirection w:val="lrTb"/>
            <w:noWrap w:val="false"/>
          </w:tcPr>
          <w:p>
            <w:pPr>
              <w:pStyle w:val="78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82"/>
              <w:jc w:val="center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54" w:type="dxa"/>
            <w:vAlign w:val="top"/>
            <w:vMerge w:val="restart"/>
            <w:textDirection w:val="lrTb"/>
            <w:noWrap w:val="false"/>
          </w:tcPr>
          <w:p>
            <w:pPr>
              <w:pStyle w:val="78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82"/>
              <w:jc w:val="center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(тыс. руб.)</w:t>
            </w:r>
            <w:r/>
          </w:p>
        </w:tc>
        <w:tc>
          <w:tcPr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587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в том числе по годам</w:t>
            </w:r>
            <w:r/>
          </w:p>
        </w:tc>
      </w:tr>
      <w:tr>
        <w:tblPrEx/>
        <w:trPr>
          <w:cantSplit/>
          <w:gridAfter w:val="1"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140" w:type="dxa"/>
            <w:vAlign w:val="top"/>
            <w:vMerge w:val="continue"/>
            <w:textDirection w:val="lrTb"/>
            <w:noWrap w:val="false"/>
          </w:tcPr>
          <w:p>
            <w:pPr>
              <w:pStyle w:val="78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54" w:type="dxa"/>
            <w:vAlign w:val="top"/>
            <w:vMerge w:val="continue"/>
            <w:textDirection w:val="lrTb"/>
            <w:noWrap w:val="false"/>
          </w:tcPr>
          <w:p>
            <w:pPr>
              <w:pStyle w:val="78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top"/>
            <w:textDirection w:val="lrTb"/>
            <w:noWrap w:val="false"/>
          </w:tcPr>
          <w:p>
            <w:pPr>
              <w:pStyle w:val="819"/>
              <w:jc w:val="center"/>
              <w:widowControl/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top"/>
            <w:textDirection w:val="lrTb"/>
            <w:noWrap w:val="false"/>
          </w:tcPr>
          <w:p>
            <w:pPr>
              <w:pStyle w:val="819"/>
              <w:jc w:val="center"/>
              <w:widowControl/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819"/>
              <w:jc w:val="center"/>
              <w:widowControl/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19"/>
              <w:jc w:val="center"/>
              <w:widowControl/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19" w:type="dxa"/>
            <w:vAlign w:val="top"/>
            <w:textDirection w:val="lrTb"/>
            <w:noWrap w:val="false"/>
          </w:tcPr>
          <w:p>
            <w:pPr>
              <w:pStyle w:val="819"/>
              <w:jc w:val="center"/>
              <w:widowControl/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</w:tr>
      <w:tr>
        <w:tblPrEx/>
        <w:trPr>
          <w:cantSplit/>
          <w:trHeight w:val="23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81" w:type="dxa"/>
            <w:vAlign w:val="center"/>
            <w:textDirection w:val="lrTb"/>
            <w:noWrap w:val="false"/>
          </w:tcPr>
          <w:p>
            <w:pPr>
              <w:pStyle w:val="782"/>
              <w:jc w:val="center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82"/>
              <w:jc w:val="center"/>
              <w:widowControl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предпринимательства»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Бюджет муниципального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2090,9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317, 9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443,0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440,0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440,0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450,0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2090,9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317, 9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443,0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450,0</w:t>
            </w:r>
            <w:r/>
          </w:p>
        </w:tc>
      </w:tr>
      <w:tr>
        <w:tblPrEx/>
        <w:trPr>
          <w:cantSplit/>
          <w:trHeight w:val="23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8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подпрограмма 2 «Развитие торговли»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Бюджет муниципального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7078,1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1214,6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2506,5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1119,0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1119,0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1119,0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9334,4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1120,3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3735,6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1779,1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1779,1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920,3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16412,5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2334,9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6242,1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2039,3</w:t>
            </w:r>
            <w:r/>
          </w:p>
        </w:tc>
      </w:tr>
      <w:tr>
        <w:tblPrEx/>
        <w:trPr>
          <w:cantSplit/>
          <w:trHeight w:val="23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8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подпрограмма 3 «Развитие туризма»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Бюджет муниципального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11684,6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3104,6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2980,00</w:t>
            </w:r>
            <w:r/>
          </w:p>
        </w:tc>
      </w:tr>
      <w:tr>
        <w:tblPrEx/>
        <w:trPr>
          <w:cantSplit/>
          <w:trHeight w:val="23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30188,0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2652,8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9789,7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6138,1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0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6138,1</w:t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20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5469,3</w:t>
            </w:r>
            <w:r/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II</w:t>
      </w:r>
      <w:r>
        <w:rPr>
          <w:b/>
          <w:sz w:val="26"/>
          <w:szCs w:val="26"/>
        </w:rPr>
        <w:t xml:space="preserve">. Характеристика подпрограмм муниципальной Программы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Подпрограммы 1 «Развитие малого и среднего предпринимательства»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Паспорт подпрограммы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621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tbl>
      <w:tblPr>
        <w:tblW w:w="0" w:type="auto"/>
        <w:tblInd w:w="-284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836"/>
        <w:gridCol w:w="6946"/>
      </w:tblGrid>
      <w:tr>
        <w:tblPrEx/>
        <w:trPr>
          <w:trHeight w:val="563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Ответственный исполнитель подпрограммы 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szCs w:val="26"/>
              </w:rPr>
              <w:t xml:space="preserve">Управление экономического развития администрации Великоустюгского муниципального округа Вологодской области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Цель 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  <w:tabs>
                <w:tab w:val="left" w:pos="1245" w:leader="none"/>
              </w:tabs>
            </w:pPr>
            <w:r>
              <w:rPr>
                <w:szCs w:val="26"/>
              </w:rPr>
              <w:t xml:space="preserve">Создание условий для устойчивого функционирования и развития малого и среднего предпринимательства в Великоустюгском муниципальном округе</w:t>
            </w:r>
            <w:r>
              <w:rPr>
                <w:bCs/>
                <w:color w:val="000000"/>
                <w:szCs w:val="26"/>
              </w:rPr>
              <w:t xml:space="preserve"> Вологодской области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Задачи 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Развитие и совершенствование механизмов поддержки в различных направлениях субъектов малого и среднего предпринимательства (в том числе социальных предприятий), «самозанятых» граждан.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Пропаганда и популяризация предпринимательской деятельности.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3. Увеличение численности работающих субъектов малого и среднего предпринимательства путём формирования благоприятной среды для развития предпринимательства.</w:t>
            </w:r>
            <w:r>
              <w:rPr>
                <w:color w:val="ff0000"/>
                <w:szCs w:val="26"/>
              </w:rPr>
              <w:t xml:space="preserve"> </w:t>
            </w:r>
            <w:r>
              <w:rPr>
                <w:szCs w:val="26"/>
                <w:shd w:val="clear" w:color="auto" w:fill="ffffff"/>
              </w:rPr>
            </w:r>
            <w:r>
              <w:rPr>
                <w:szCs w:val="26"/>
                <w:shd w:val="clear" w:color="auto" w:fill="ffffff"/>
              </w:rPr>
            </w:r>
          </w:p>
          <w:p>
            <w:pPr>
              <w:pStyle w:val="621"/>
              <w:jc w:val="both"/>
            </w:pPr>
            <w:r>
              <w:rPr>
                <w:szCs w:val="26"/>
                <w:shd w:val="clear" w:color="auto" w:fill="ffffff"/>
              </w:rPr>
              <w:t xml:space="preserve">4. Усиление инвестиционной активности на территории округа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Целевые показатели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(индикаторы)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Перечень целевых показателей муниципальной программы приведён в приложении № 2 к подпрограмме 1</w:t>
            </w:r>
            <w:r/>
          </w:p>
        </w:tc>
      </w:tr>
      <w:tr>
        <w:tblPrEx/>
        <w:trPr>
          <w:trHeight w:val="5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Сроки реализации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szCs w:val="26"/>
              </w:rPr>
              <w:t xml:space="preserve">2023 - 2027 годы, осуществляется в один этап</w:t>
            </w:r>
            <w:r/>
          </w:p>
        </w:tc>
      </w:tr>
      <w:tr>
        <w:tblPrEx/>
        <w:trPr>
          <w:trHeight w:val="6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Объёмы финансового обеспечения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bCs/>
                <w:szCs w:val="26"/>
              </w:rPr>
              <w:t xml:space="preserve">Объём финансирования на 2023-2027 годы – 2090,9 тыс. руб. (приложение № 5 к Программе)</w:t>
            </w:r>
            <w:r/>
          </w:p>
        </w:tc>
      </w:tr>
      <w:tr>
        <w:tblPrEx/>
        <w:trPr>
          <w:trHeight w:val="6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bCs/>
                <w:color w:val="000000"/>
                <w:szCs w:val="26"/>
              </w:rPr>
              <w:t xml:space="preserve">увеличение количества субъектов малого и среднего предпринимательства (включая «самозанятых» граждан) в расчёте на          10 тыс. человек населения Великоустюгского </w:t>
            </w:r>
            <w:r>
              <w:rPr>
                <w:szCs w:val="26"/>
                <w:shd w:val="clear" w:color="auto" w:fill="ffffff"/>
              </w:rPr>
              <w:t xml:space="preserve">округа</w:t>
            </w:r>
            <w:r>
              <w:rPr>
                <w:bCs/>
                <w:color w:val="000000"/>
                <w:szCs w:val="26"/>
              </w:rPr>
              <w:t xml:space="preserve"> Вологодской области - до 590 единиц</w:t>
            </w:r>
            <w:r/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621"/>
        <w:ind w:left="0" w:righ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Характеристика сферы реализации подпрограммы 1,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описание основных проблем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Малый бизнес – это важная составляющая развития современной экономики, источник доходов и сфера приложения труда</w:t>
      </w:r>
      <w:r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720"/>
        <w:jc w:val="both"/>
        <w:widowControl/>
        <w:rPr>
          <w:sz w:val="26"/>
          <w:szCs w:val="26"/>
        </w:rPr>
        <w:outlineLvl w:val="1"/>
      </w:pPr>
      <w:r>
        <w:rPr>
          <w:rFonts w:ascii="Times New Roman" w:hAnsi="Times New Roman" w:cs="Times New Roman"/>
          <w:sz w:val="26"/>
          <w:szCs w:val="26"/>
        </w:rPr>
        <w:t xml:space="preserve">Развитие малого предпринимательства, института «самозанятых» в Великоустюгском округе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</w:t>
      </w:r>
      <w:r>
        <w:rPr>
          <w:rFonts w:ascii="Times New Roman" w:hAnsi="Times New Roman" w:cs="Times New Roman"/>
          <w:sz w:val="26"/>
          <w:szCs w:val="26"/>
        </w:rPr>
        <w:t xml:space="preserve">увеличению доходной части бюджетов различного уровня. Значимость малого предпринимательства 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реализация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МСП.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10.01.2022 в Великоустюгском муниципальном округе </w:t>
      </w:r>
      <w:r>
        <w:rPr>
          <w:bCs/>
          <w:color w:val="000000"/>
          <w:sz w:val="26"/>
          <w:szCs w:val="26"/>
        </w:rPr>
        <w:t xml:space="preserve">Вологодской области</w:t>
      </w:r>
      <w:r>
        <w:rPr>
          <w:sz w:val="26"/>
          <w:szCs w:val="26"/>
        </w:rPr>
        <w:t xml:space="preserve"> свою деятельность осуществляли </w:t>
      </w:r>
      <w:r>
        <w:rPr>
          <w:rFonts w:eastAsia="Calibri"/>
          <w:sz w:val="26"/>
          <w:szCs w:val="26"/>
          <w:lang w:eastAsia="en-US"/>
        </w:rPr>
        <w:t xml:space="preserve">1571 субъект </w:t>
      </w:r>
      <w:r>
        <w:rPr>
          <w:sz w:val="26"/>
          <w:szCs w:val="26"/>
        </w:rPr>
        <w:t xml:space="preserve">малого и среднего предпринимательства</w:t>
      </w:r>
      <w:r>
        <w:rPr>
          <w:rFonts w:eastAsia="Calibri"/>
          <w:sz w:val="26"/>
          <w:szCs w:val="26"/>
          <w:lang w:eastAsia="en-US"/>
        </w:rPr>
        <w:t xml:space="preserve">, в том числе 478 малых и 1 среднее предприятие, 1092 индивидуальных предпринимателей.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предприятий по видам экономической деятельности в течение ряда лет остаётся практически неизменной. Так, наиболее привлекательной для малого бизнеса остаётся сфера торговли, что объясняется более быстрым оборотом денежных средств.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стабильную ситуацию в деятельности субъектов малого и среднего предпринимательства, ключевые проблемы и вызовы существуют, в числе которых: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а) недостаточный внутренний спрос на производимую продукцию (работы, услуги) малого и среднего предпринимательства; </w: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б)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ограничение доступа к реализации продукции и конкуренции при поставках продукции, произведённой местными товаропроизводителями;</w:t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pStyle w:val="621"/>
        <w:ind w:left="0" w:righ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в) недостаточная вовлеченность молодёжи в сферу малого предпринимательства;</w:t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г) существенные различия в условиях ведения бизнеса в муниципальных образованиях;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введение обязательной маркировки товаров;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избыточно высокие налоги;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ё) чрезмерное контрольно-надзорное давление;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рост цен и тарифов;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з) недостаток квалифицированных кадров.</w:t>
      </w:r>
      <w:r>
        <w:rPr>
          <w:color w:val="212121"/>
          <w:sz w:val="26"/>
          <w:szCs w:val="26"/>
          <w:shd w:val="clear" w:color="auto" w:fill="ffffff"/>
        </w:rPr>
      </w:r>
      <w:r>
        <w:rPr>
          <w:color w:val="212121"/>
          <w:sz w:val="26"/>
          <w:szCs w:val="26"/>
          <w:shd w:val="clear" w:color="auto" w:fill="ffffff"/>
        </w:rPr>
      </w:r>
    </w:p>
    <w:p>
      <w:pPr>
        <w:pStyle w:val="621"/>
        <w:ind w:left="0" w:righ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212121"/>
          <w:sz w:val="26"/>
          <w:szCs w:val="26"/>
          <w:shd w:val="clear" w:color="auto" w:fill="ffffff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color w:val="212121"/>
          <w:sz w:val="26"/>
          <w:szCs w:val="26"/>
          <w:shd w:val="clear" w:color="auto" w:fill="ffffff"/>
        </w:rPr>
        <w:t xml:space="preserve"> возможно только на основе целенаправленной работы по созданию благоприятных условий для его развития путём оказания комплексной и адресной поддержки в различных направлениях.</w:t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Подпрограмма 1 призвана </w:t>
      </w:r>
      <w:r>
        <w:rPr>
          <w:sz w:val="26"/>
          <w:szCs w:val="26"/>
        </w:rPr>
        <w:t xml:space="preserve">сохранить основные приоритеты в сфере муниципальной поддержки малого предпринимательства в логической увязке с уже имеющейся системой региональной и федеральной государственной поддержки малого бизнеса, </w:t>
      </w:r>
      <w:r>
        <w:rPr>
          <w:rFonts w:eastAsia="Calibri"/>
          <w:sz w:val="26"/>
          <w:szCs w:val="26"/>
          <w:lang w:eastAsia="en-US"/>
        </w:rPr>
        <w:t xml:space="preserve">запустить механизм обратной связи с субъектами малого предпринимательства.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numPr>
          <w:ilvl w:val="0"/>
          <w:numId w:val="0"/>
        </w:numPr>
        <w:jc w:val="center"/>
        <w:widowControl w:val="off"/>
        <w:rPr>
          <w:b/>
          <w:sz w:val="26"/>
          <w:szCs w:val="26"/>
        </w:rPr>
        <w:outlineLvl w:val="4"/>
      </w:pPr>
      <w:r>
        <w:rPr>
          <w:b/>
          <w:sz w:val="26"/>
          <w:szCs w:val="26"/>
        </w:rPr>
        <w:t xml:space="preserve">1.2. Механизм реализации мероприятий подпрограммы 1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numPr>
          <w:ilvl w:val="0"/>
          <w:numId w:val="0"/>
        </w:numPr>
        <w:jc w:val="center"/>
        <w:widowControl w:val="off"/>
        <w:rPr>
          <w:b/>
          <w:sz w:val="26"/>
          <w:szCs w:val="26"/>
        </w:rPr>
        <w:outlineLvl w:val="4"/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подпрограммы 1 представлен в приложение № 1 к подпрограмме 1. Ресурсное обеспечение реализации подпрограммы 1 представлено в приложении № 5 к Программе.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подпрограммы 1 направлены на оказание методической, организационной, информационной помощи субъектам малого и среднего предпринимательства, «самозанятым» гражданам Великоустюгского округа.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мероприятия 2 перечня мероприятий подпрограммы 1 (приложение № 1 к подпрограмме 1) </w:t>
      </w:r>
      <w:r>
        <w:rPr>
          <w:sz w:val="26"/>
          <w:szCs w:val="26"/>
        </w:rPr>
        <w:t xml:space="preserve">осуществляется имущественная поддержка субъектов малого и среднего предпринимательства путём предоставления льготы по арендной плате за пользование муниципальным имуществом на основании решения представительного органа Великоустюгского муниципального округ</w:t>
      </w:r>
      <w:r>
        <w:rPr>
          <w:bCs/>
          <w:color w:val="000000"/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 а. Перечень имущества Великоустюгского муниципального округа</w:t>
      </w:r>
      <w:r>
        <w:rPr>
          <w:bCs/>
          <w:color w:val="000000"/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, предна</w:t>
      </w:r>
      <w:r>
        <w:rPr>
          <w:sz w:val="26"/>
          <w:szCs w:val="26"/>
        </w:rPr>
        <w:t xml:space="preserve">значенного для передачи во владение и (или) пользование субъектам малого и среднего предпринимательства и «самозанятым» гражданам, размещен на официальном сайте муниципального округа в разделе «Экономика» в подразделе «Малое и среднее предпринимательство».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реализации мероприятия 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перечня мероприятий подпрограммы 1 (приложение № 1 к подпрограмме 1) субъектам малого и среднего предпринимательства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оказывается информационно - консультационная поддержка, в рамках которой: ежегодно обновляется инвестиционный паспорт Великоустюгского муниципального округа</w:t>
      </w:r>
      <w:r>
        <w:rPr>
          <w:bCs/>
          <w:color w:val="000000"/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; создан реестр инвестиционных площадок; на официальном сайте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в разделе «Экономика» ведётся подраздел «Малое и среднее предпринимательство»; ведёт работу Экономический совет при Главе Великоустюгского муниципального округа</w:t>
      </w:r>
      <w:r>
        <w:rPr>
          <w:bCs/>
          <w:color w:val="000000"/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 xml:space="preserve">, в состав которого входят представители власти и бизнеса; администрацией о</w:t>
      </w:r>
      <w:r>
        <w:rPr>
          <w:sz w:val="26"/>
          <w:szCs w:val="26"/>
        </w:rPr>
        <w:t xml:space="preserve">круга ежеквартально проводятся заседания районной трёхсторонней комиссии по регулированию социально-трудовых отношений; предусмотрены обучающие тренинги для представителей бизнеса округа с привлечением спикеров из региональных институтов поддержки бизнеса.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мероприятия 4 перечня мероприятий подпрограммы 1 (приложение № 1 к подпрограмме 1) администрацией округа ведётся популяризация предпринимательской деятельности проводятся конкурсы: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1) «Юный предприниматель» с целью </w:t>
      </w:r>
      <w:r>
        <w:rPr>
          <w:bCs/>
          <w:color w:val="000000"/>
          <w:sz w:val="26"/>
          <w:szCs w:val="26"/>
        </w:rPr>
        <w:t xml:space="preserve">содействия развитию молодёжного предпр</w:t>
      </w:r>
      <w:r>
        <w:rPr>
          <w:bCs/>
          <w:color w:val="000000"/>
          <w:sz w:val="26"/>
          <w:szCs w:val="26"/>
        </w:rPr>
        <w:t xml:space="preserve">инимательства на территории Великоустюгского муниципального округа Вологодской области и формирования условий для дальнейшего интеллектуального развития и профессиональной ориентации школьников и студентов в соответствии с положением о проведении конкурса;</w:t>
      </w:r>
      <w:r>
        <w:rPr>
          <w:bCs/>
          <w:color w:val="000000"/>
          <w:sz w:val="26"/>
          <w:szCs w:val="26"/>
        </w:rPr>
      </w:r>
      <w:r>
        <w:rPr>
          <w:bCs/>
          <w:color w:val="000000"/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</w:t>
      </w:r>
      <w:r>
        <w:rPr>
          <w:sz w:val="26"/>
          <w:szCs w:val="26"/>
        </w:rPr>
        <w:t xml:space="preserve"> «Я-предприниматель» для субъектов МСП и «самозанятых» граждан</w:t>
      </w:r>
      <w:r>
        <w:rPr>
          <w:color w:val="000000"/>
          <w:sz w:val="26"/>
          <w:szCs w:val="26"/>
        </w:rPr>
        <w:t xml:space="preserve"> с целью пропаганды бизнеса и предпринимательства в Великоустюгском муниципальном округе как эффективной общественной и социальной самореализации граждан</w:t>
      </w:r>
      <w:r>
        <w:rPr>
          <w:bCs/>
          <w:color w:val="000000"/>
          <w:sz w:val="26"/>
          <w:szCs w:val="26"/>
        </w:rPr>
        <w:t xml:space="preserve"> в соответствии с положением о проведении конкурса;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эти меропр</w:t>
      </w:r>
      <w:r>
        <w:rPr>
          <w:sz w:val="26"/>
          <w:szCs w:val="26"/>
        </w:rPr>
        <w:t xml:space="preserve">иятия направлены на создание и поддержку благоприятной внешней среды для субъектов малого и среднего предпринимательства, оказание содействия внедрению современных технологий ведения бизнеса, в том числе с широким использованием возможностей сети Интернет.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Подпрограмма 1 подлежит приведению в соответствие с решением о бюджете не позднее трёх месяцев со дня вступления его в силу.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Оценка эффективности 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реализации подпрограммы 1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Администрацией округа в лице управления экономического развития осуществляется мониторинг реализации муниципальной подпрограммы 1 на основании полугодового мониторинга реализации программ и годовых отчётов о ходе их реализации.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Полугодовой мониторинг реализации меропр</w:t>
      </w:r>
      <w:r>
        <w:rPr>
          <w:rFonts w:ascii="Times New Roman" w:hAnsi="Times New Roman" w:cs="Times New Roman"/>
          <w:sz w:val="26"/>
          <w:szCs w:val="26"/>
        </w:rPr>
        <w:t xml:space="preserve">иятий муниципальной подпро-граммы ориентирован на раннее предупреждение возникновения проблем и отклонений хода реализации муниципальной программы от запланированного, составляется ежегодно до 25 июля и представляется в управление экономического развития.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Годовой отчёт о ходе реализации подпрограммы формирует ответственный исполнитель с учётом информации в срок до 1 марта года, следующего за отчётным годом.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</w:t>
      </w:r>
      <w:r>
        <w:rPr>
          <w:sz w:val="26"/>
          <w:szCs w:val="26"/>
        </w:rPr>
        <w:t xml:space="preserve">ивности муниципальной подпрограммы 1 осуществляется на основании раздела «Оценка эффективности муниципальной программы» порядка разработки, реализации и оценки эффективности муниципальных программ Великоустюгского муниципального округа Вологодской области.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Программы опр</w:t>
      </w:r>
      <w:r>
        <w:rPr>
          <w:sz w:val="26"/>
          <w:szCs w:val="26"/>
        </w:rPr>
        <w:t xml:space="preserve">еделяется уровнем достижения запланированных показателей муниципальной программы, а также выполнением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реализации.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ascii="Times New Roman" w:hAnsi="Times New Roman" w:cs="Times New Roman"/>
          <w:sz w:val="24"/>
          <w:szCs w:val="26"/>
        </w:rPr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 w:orient="portrait"/>
          <w:pgMar w:top="1134" w:right="567" w:bottom="1134" w:left="1701" w:header="709" w:footer="709" w:gutter="0"/>
          <w:cols w:num="1" w:sep="0" w:space="1701" w:equalWidth="1"/>
          <w:docGrid w:linePitch="360"/>
        </w:sectPr>
      </w:pPr>
      <w:r>
        <w:rPr>
          <w:sz w:val="26"/>
          <w:szCs w:val="26"/>
        </w:rPr>
        <w:t xml:space="preserve">Анализ изменения показателей осуществляется ежегодно.</w:t>
      </w: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621"/>
        <w:ind w:left="0" w:right="0" w:firstLine="9923"/>
        <w:jc w:val="center"/>
        <w:spacing w:line="26" w:lineRule="atLeast"/>
        <w:widowControl w:val="off"/>
        <w:rPr>
          <w:b/>
          <w:sz w:val="26"/>
          <w:szCs w:val="26"/>
        </w:rPr>
      </w:pPr>
      <w:r>
        <w:rPr>
          <w:szCs w:val="26"/>
        </w:rPr>
        <w:t xml:space="preserve">Приложение № 1 к подпрограмме 1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spacing w:line="26" w:lineRule="atLeast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spacing w:line="26" w:lineRule="atLeast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spacing w:line="26" w:lineRule="atLeast"/>
        <w:widowControl w:val="off"/>
        <w:rPr>
          <w:rFonts w:ascii="Times New Roman" w:hAnsi="Times New Roman" w:cs="Times New Roman"/>
          <w:b/>
          <w:sz w:val="26"/>
          <w:szCs w:val="24"/>
        </w:rPr>
      </w:pPr>
      <w:r>
        <w:rPr>
          <w:b/>
          <w:sz w:val="26"/>
          <w:szCs w:val="26"/>
        </w:rPr>
        <w:t xml:space="preserve">П Е Р Е Ч Е Н Ь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jc w:val="center"/>
        <w:rPr>
          <w:color w:val="a6a6a6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основных мероприятий и финансовое обеспечение реализации муниципальной </w:t>
      </w:r>
      <w:r>
        <w:rPr>
          <w:rFonts w:ascii="Times New Roman" w:hAnsi="Times New Roman" w:cs="Times New Roman"/>
          <w:b/>
          <w:sz w:val="26"/>
        </w:rPr>
        <w:t xml:space="preserve">подпрограммы 1 </w:t>
      </w:r>
      <w:r>
        <w:rPr>
          <w:color w:val="a6a6a6"/>
          <w:szCs w:val="28"/>
        </w:rPr>
      </w:r>
      <w:r>
        <w:rPr>
          <w:color w:val="a6a6a6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rFonts w:ascii="Times New Roman" w:hAnsi="Times New Roman" w:cs="Times New Roman"/>
          <w:color w:val="a6a6a6"/>
          <w:szCs w:val="28"/>
        </w:rPr>
      </w:pPr>
      <w:r>
        <w:rPr>
          <w:color w:val="a6a6a6"/>
          <w:szCs w:val="28"/>
        </w:rPr>
        <w:t xml:space="preserve">(в редакции постановлений администрации Великоустюгского муниципального </w:t>
      </w:r>
      <w:r>
        <w:rPr>
          <w:rFonts w:ascii="Times New Roman" w:hAnsi="Times New Roman" w:cs="Times New Roman"/>
          <w:color w:val="a6a6a6"/>
          <w:szCs w:val="28"/>
        </w:rPr>
      </w:r>
      <w:r>
        <w:rPr>
          <w:rFonts w:ascii="Times New Roman" w:hAnsi="Times New Roman" w:cs="Times New Roman"/>
          <w:color w:val="a6a6a6"/>
          <w:szCs w:val="28"/>
        </w:rPr>
      </w:r>
    </w:p>
    <w:p>
      <w:pPr>
        <w:pStyle w:val="770"/>
        <w:jc w:val="center"/>
        <w:rPr>
          <w:sz w:val="22"/>
        </w:rPr>
      </w:pPr>
      <w:r>
        <w:rPr>
          <w:rFonts w:ascii="Times New Roman" w:hAnsi="Times New Roman" w:cs="Times New Roman"/>
          <w:color w:val="a6a6a6"/>
          <w:szCs w:val="28"/>
        </w:rPr>
        <w:t xml:space="preserve">округа Вологодской области № 2551 от 18.09.2023, №3088 от 03.11.2023, №414 от 16.02.2024</w:t>
      </w:r>
      <w:r>
        <w:rPr>
          <w:rFonts w:ascii="Times New Roman" w:hAnsi="Times New Roman" w:cs="Times New Roman"/>
          <w:szCs w:val="28"/>
        </w:rPr>
        <w:t xml:space="preserve">)</w:t>
      </w:r>
      <w:r>
        <w:rPr>
          <w:sz w:val="22"/>
        </w:rPr>
      </w:r>
      <w:r>
        <w:rPr>
          <w:sz w:val="22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284"/>
        <w:gridCol w:w="2693"/>
        <w:gridCol w:w="284"/>
        <w:gridCol w:w="1984"/>
        <w:gridCol w:w="425"/>
        <w:gridCol w:w="1418"/>
        <w:gridCol w:w="983"/>
        <w:gridCol w:w="9"/>
        <w:gridCol w:w="974"/>
        <w:gridCol w:w="18"/>
        <w:gridCol w:w="965"/>
        <w:gridCol w:w="28"/>
        <w:gridCol w:w="955"/>
        <w:gridCol w:w="37"/>
        <w:gridCol w:w="946"/>
        <w:gridCol w:w="46"/>
        <w:gridCol w:w="938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исполнитель,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соисполнитель,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основного мероприятия, мероприятия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программы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(подпрограммы)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Ожидаемый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непосредственный результат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Источник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финансового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обеспечения</w:t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Расходы (тыс. руб.)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за период 2023-2027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11</w:t>
            </w:r>
            <w:r/>
          </w:p>
        </w:tc>
      </w:tr>
      <w:tr>
        <w:tblPrEx/>
        <w:trPr>
          <w:trHeight w:val="4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  <w:lang w:val="en-US"/>
              </w:rPr>
              <w:t xml:space="preserve">I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Итого по муниципальной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подпрограмме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Всего, 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317, 9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443,0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450,0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2090,9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317,9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443,0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450,0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2090,9</w:t>
            </w:r>
            <w:r/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1. Формирование благоприятной внешней среды для субъектов малого и среднего предпринимательства</w:t>
            </w:r>
            <w:r/>
          </w:p>
        </w:tc>
      </w:tr>
      <w:tr>
        <w:tblPrEx/>
        <w:trPr>
          <w:trHeight w:val="8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1.1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экономического</w:t>
            </w:r>
            <w:r/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t xml:space="preserve">развития,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структурные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подразделения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администрации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Проведение, социологических опросов с целью оценки деятельности субъектов малого и среднего предпринимательства, в том числе мониторинга проблем и препятствий, сдерживающих развитие малого и среднего предпринимательства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Увеличение количества субъектов малого и среднего предпринимательства (включая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«самозанятых» граждан) в расчёте на 10 тыс. чел. населения Великоустюгского округа -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1.2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экономического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развития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Анализ состояния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малого и среднего предпринимательства, определение перспективных направлений развития малого и среднего предпринимательства в округе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Увеличение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количества субъектов малого и среднего предпринимательства (включая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«самозанятых» граждан) в расчёте на 10 тыс. чел. населения Великоустюгского округа -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 рамках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Проведение заседаний Экономического совета при Главе Великоустюгского муниципального округа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Вологодской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2. Оказание имущественной поддержки субъектам малого и среднего предпринимательства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2.1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Комитет по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управлению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имуществом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Формирование и ведение перечня муниципального имущества, предназначенного для передачи во владение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и (или) пользование субъектам малого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 и среднего предпринимательства,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«самозанятым»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гражданам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Увеличение 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количества субъектов малого и среднего предпринимательства (включая «самозанятых» граждан) в расчёте на 10 тыс. чел. населения Великоустюгского округа –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 рамках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2.1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Комитет по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управлению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имуществом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Оказание субъектам малого и среднего предпринимательства, «самозанятым» гражданам имущественной поддержки в виде передачи в аренду муниципального имущества округа в соответствии с действующим законодательством и муниципальными правовыми актами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 количества субъектов малого и среднего предпринимательства (включая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«самозанятых» граждан) в расчёте на 10 тыс. чел. населения Великоустюгского округа –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 рамках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3. Информационно-консультационная поддержка субъектов малого и среднего предпринимательства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Структурные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подразделения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администрации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Мониторинг нормативных правовых актов в части поддержки малого и среднего предпринимательства (нормативно-правовая экспертиза)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 количества субъектов малого и среднего предпринимательства (включая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«самозанятых» граждан) в расчёте на 10 тыс. чел. населения Великоустюгского округа –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 рамках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3.2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Управление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экономического развития,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управление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делами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Формирование раздела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по вопросам деятельности субъектов малого и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среднего предпринимательства на сайте администрации округа, организация и проведение мероприятий с целью решения проблем развития малого и среднего предпринимательства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3.3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Управление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Cs/>
              </w:rPr>
              <w:t xml:space="preserve">экономического развития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Информационная поддержка субъектов малого и среднего предпринимательства, «самозанятых» граждан с целью улучшения благоприятного инвестиционного климата Великоустюгского муниципального округа Вологодской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количества субъектов малого и среднего предпринимательства (включая «самозанятых» граждан) в расчёте на 10 тыс. чел. населения Великоустюгского округа –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бюджета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17,9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83,0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350,9</w:t>
            </w:r>
            <w:r/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4. Пропаганда и популяризация предпринимательской деятельности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Структурные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подразделения администрации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Содействие деятельности общественных объединений предпринимателей, Великоустюгского отделения Союза промышленников и предпринимателей Вологодской области по развитию малого и среднего предпринимательства в Великоустюгском муниципальном округе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количества субъектов малого и среднего предпринимательства (включая «самозанятых» граждан) в расчёте на 10 тыс. чел. населения Великоустюгского округа -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Организация и проведение мероприятий, способствующих развитию инвестиционной активности субъектов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Структурные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подразделения администрации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Содействие организации участия субъектов МСП, «самозанятых» граждан округа в региональных и межрегиональных конкурсах малого и среднего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количества субъектов малого и среднего предпринимательства (включая «самозанятых» граждан) в расчёте на 10 тыс. человек населения Великоустюгского округа – до 590 единиц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экономического развития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Проведение мероприятий и конкурсов, направленных на популяризацию предпринимательской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бюджета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1200,0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Структурные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подразделения адми-нистрации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Помощь в организации подготовки, переподготовки, повышения квалификации кадров субъектам малого и среднего предпринимательства, «самозанятым» гражданам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5. Оказание финансовой поддержки субъектам малого и среднего предпринимательства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Управление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экономического развития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по оказанию услуг бань при предоставлении дополнительных мер социальной поддержки отдельным категориям граждан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Увеличение количества субъектов малого и среднего предпринимательства (включая «самозанятых» граждан) в расчёте на 10 тыс. человек населения Великоустюгского округа – до 590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 бюджета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60,0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540,0</w:t>
            </w:r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</w:tbl>
    <w:p>
      <w:pPr>
        <w:pStyle w:val="621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418" w:right="851" w:bottom="851" w:left="85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21"/>
        <w:ind w:left="0" w:right="0" w:firstLine="9923"/>
        <w:jc w:val="center"/>
        <w:spacing w:line="26" w:lineRule="atLeast"/>
        <w:widowControl w:val="off"/>
        <w:rPr>
          <w:rFonts w:ascii="Times New Roman" w:hAnsi="Times New Roman" w:cs="Times New Roman"/>
          <w:b/>
          <w:sz w:val="26"/>
          <w:szCs w:val="24"/>
        </w:rPr>
      </w:pPr>
      <w:r>
        <w:rPr>
          <w:szCs w:val="26"/>
        </w:rPr>
        <w:t xml:space="preserve">Приложение № 2 к подпрограмме 1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1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"/>
        <w:gridCol w:w="4399"/>
        <w:gridCol w:w="2410"/>
        <w:gridCol w:w="1134"/>
        <w:gridCol w:w="921"/>
        <w:gridCol w:w="1063"/>
        <w:gridCol w:w="964"/>
        <w:gridCol w:w="964"/>
        <w:gridCol w:w="964"/>
        <w:gridCol w:w="964"/>
        <w:gridCol w:w="964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по годам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7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blPrEx/>
        <w:trPr>
          <w:trHeight w:val="23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устойчивого роста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малого предпринимательства Великоустюгского муниципального округа Вологодской области</w:t>
            </w:r>
            <w:r/>
          </w:p>
        </w:tc>
      </w:tr>
      <w:tr>
        <w:tblPrEx/>
        <w:trPr>
          <w:trHeight w:val="23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подпрограмма 1 «Развитие малого и среднего предпринимательства»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механизмов поддержки в различных направлениях субъектов малого и среднего предпринимательства (в том числе социальных предприятий), «самозанятых»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«самозанятых» граждан)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на 10 тыс.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жителей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</w:rPr>
              <w:t xml:space="preserve">566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</w:rPr>
              <w:t xml:space="preserve">590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популяризация предпринимательской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работающих субъектов малого и среднего предпринимательства путём формирования благоприятной среды для развития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9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Усиление инвестиционной активности на территории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подпрограмме 1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 целевых показателей (индикаторов) подпрограммы 1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21"/>
        <w:gridCol w:w="2268"/>
        <w:gridCol w:w="1472"/>
        <w:gridCol w:w="2126"/>
        <w:gridCol w:w="1984"/>
        <w:gridCol w:w="1560"/>
        <w:gridCol w:w="1560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1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формуле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индекс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1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(включая «самозанятых» граждан) в расчёте на 10 тыс. человек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1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на 1000 жителей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количества субъектов МСП, включая «самозанятых» граждан на 1 тыс.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2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= К/ Ж 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(10 000)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на 1000 жителей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субъектов МСП,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Вологдастата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</w:t>
            </w:r>
            <w:r/>
          </w:p>
        </w:tc>
      </w:tr>
    </w:tbl>
    <w:p>
      <w:pPr>
        <w:pStyle w:val="621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851" w:left="85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21"/>
        <w:jc w:val="center"/>
        <w:widowControl w:val="off"/>
        <w:rPr>
          <w:szCs w:val="26"/>
        </w:rPr>
      </w:pPr>
      <w:r>
        <w:rPr>
          <w:szCs w:val="26"/>
        </w:rPr>
      </w:r>
      <w:r>
        <w:rPr>
          <w:szCs w:val="26"/>
        </w:rPr>
      </w:r>
    </w:p>
    <w:p>
      <w:pPr>
        <w:pStyle w:val="621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Подпрограммы 2 «Развитие торговли»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Паспорт подпрограммы</w: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621"/>
        <w:jc w:val="center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tbl>
      <w:tblPr>
        <w:tblW w:w="0" w:type="auto"/>
        <w:tblInd w:w="-284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>
        <w:tblPrEx/>
        <w:trPr>
          <w:trHeight w:val="563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Ответственный исполнитель подпрограммы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szCs w:val="26"/>
              </w:rPr>
              <w:t xml:space="preserve">Управление экономического развития Великоустюгского муниципального округа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Цель подпрограммы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  <w:tabs>
                <w:tab w:val="left" w:pos="1245" w:leader="none"/>
              </w:tabs>
            </w:pPr>
            <w:r>
              <w:rPr>
                <w:szCs w:val="26"/>
              </w:rPr>
              <w:t xml:space="preserve">Обеспечение условий для устойчивого функционирования и развития организаций торговли в Великоустюгском муниципальном округе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Задачи подпрограммы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Совершенствование форм и методов координации управления в сфере торговли.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Повышение экономической доступности товаров для населения в целях реализации социальной политики.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</w:pPr>
            <w:r>
              <w:rPr>
                <w:szCs w:val="26"/>
              </w:rPr>
              <w:t xml:space="preserve">3. Стимулирование деловой активности и повышение конкуренции в сфере торговой деятельности</w:t>
            </w:r>
            <w:r/>
          </w:p>
        </w:tc>
      </w:tr>
      <w:tr>
        <w:tblPrEx/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Целевые показатели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(индикаторы)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Перечень целевых показателей муниципальной программы приведён в приложении № 2 к подпрограмме 2</w:t>
            </w:r>
            <w:r/>
          </w:p>
        </w:tc>
      </w:tr>
      <w:tr>
        <w:tblPrEx/>
        <w:trPr>
          <w:trHeight w:val="5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Сроки реализации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Cs w:val="26"/>
              </w:rPr>
              <w:t xml:space="preserve">подпрограммы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szCs w:val="26"/>
              </w:rPr>
              <w:t xml:space="preserve">2023 - 2027 годы, осуществляется в один этап</w:t>
            </w:r>
            <w:r/>
          </w:p>
        </w:tc>
      </w:tr>
      <w:tr>
        <w:tblPrEx/>
        <w:trPr>
          <w:trHeight w:val="6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Объёмы финансового обеспечения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 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spacing w:line="26" w:lineRule="atLeast"/>
              <w:widowControl w:val="off"/>
              <w:rPr>
                <w:szCs w:val="26"/>
              </w:rPr>
            </w:pPr>
            <w:r>
              <w:rPr>
                <w:bCs/>
                <w:szCs w:val="26"/>
              </w:rPr>
              <w:t xml:space="preserve">Объём финансирования на 2023-2027 годы -</w:t>
            </w:r>
            <w:r>
              <w:rPr>
                <w:szCs w:val="26"/>
              </w:rPr>
              <w:t xml:space="preserve"> 16412,5 </w:t>
            </w:r>
            <w:r>
              <w:rPr>
                <w:bCs/>
                <w:szCs w:val="26"/>
              </w:rPr>
              <w:t xml:space="preserve">тыс. руб. (приложение № 5 к Программе),</w:t>
            </w:r>
            <w:r>
              <w:rPr>
                <w:szCs w:val="26"/>
              </w:rPr>
              <w:t xml:space="preserve"> в том числе: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  <w:spacing w:line="26" w:lineRule="atLeas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– 7078,10 тыс. руб.;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both"/>
            </w:pPr>
            <w:r>
              <w:rPr>
                <w:szCs w:val="26"/>
              </w:rPr>
              <w:t xml:space="preserve">средства бюджета округа – 9334,40 тыс. руб.</w:t>
            </w:r>
            <w:r/>
          </w:p>
        </w:tc>
      </w:tr>
      <w:tr>
        <w:tblPrEx/>
        <w:trPr>
          <w:trHeight w:val="6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Cs w:val="26"/>
              </w:rPr>
              <w:t xml:space="preserve">подпрограммы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Доля малонаселённых и труднодоступных населённых пунктов, в которые фактически осуществляется доставка социально значимых товаров составит 100%.</w:t>
            </w:r>
            <w:r/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Характеристика сферы реализации подпрограммы 2,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t xml:space="preserve">описание основных проблем</w:t>
      </w:r>
      <w:r>
        <w:rPr>
          <w:b/>
          <w:sz w:val="26"/>
          <w:szCs w:val="26"/>
          <w:highlight w:val="yellow"/>
        </w:rPr>
      </w:r>
      <w:r>
        <w:rPr>
          <w:b/>
          <w:sz w:val="26"/>
          <w:szCs w:val="26"/>
          <w:highlight w:val="yellow"/>
        </w:rPr>
      </w:r>
    </w:p>
    <w:p>
      <w:pPr>
        <w:pStyle w:val="621"/>
        <w:ind w:left="0" w:right="0" w:firstLine="709"/>
        <w:jc w:val="center"/>
        <w:spacing w:line="26" w:lineRule="atLeast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</w:r>
      <w:r>
        <w:rPr>
          <w:b/>
          <w:sz w:val="26"/>
          <w:szCs w:val="26"/>
          <w:highlight w:val="yellow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настоящей подпрограмме 2 под сферой торговли понимается хозяйственная деятельность по осуществлению продажи товаров и оказания услуг, в том числе услуг бытового обслуживания и услуг общественного питания (далее - сфера торговли).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01.01.2022 на территории Великоустюгского муниципального округа Вологодской области деятельность осуществляют 506 объектов торговли, 74 общественного питания (в том числе закрытая сеть) 169 объектов, оказывающих услуги населению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Розничная сеть Великоустюгского муниципального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Вологодской области представлена федеральными, региональными и местными торговыми сетями различных форматов.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населённых пунктов услуги розничной торговли предоставляют 362 магазина, в сельской местности 144. Торговая сеть Великоустюгского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представлена следующими предприятиями: супермаркеты - 41; специализированные продовольственные магазины - 18; специализированные непродовольственные магазины - 61; минимаркеты - 242; прочие магазины - 144.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торговых объектов составляет 83792 кв. м.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Cs w:val="26"/>
        </w:rPr>
        <w:t xml:space="preserve">24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Фактическая обеспеченность населения площадью стационарных торговых объектов в расчёте на 1000 человек на 1 января 2022 года составила 1605,4 кв. м, и превышает установленный для Великоустюгского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в 3,0 раза.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достаточно высоких темпах развития сети предприятий потребительского рынка, обеспеченность населения торговыми площадями неравномерна по сельским территориям Великоустюгского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. Сложившееся размещение объектов торговли также не всегда отвечает потребностям населения.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75 малонаселённых и труднодоступных населённых пунктов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организована мобильная торговля - один из немногих способов снабжения сельских жителей товарами первой необходимости, широким ассортиментом качественных товаров продовольственного и непродовольственного характера.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программа направлена на решение актуальных вопросов развития малого и среднего предпринимательства в Великоустюгском о</w:t>
      </w:r>
      <w:r>
        <w:rPr>
          <w:sz w:val="26"/>
          <w:szCs w:val="26"/>
        </w:rPr>
        <w:t xml:space="preserve">круге,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общественного питания представлена как открытой, так и закрытой сетью организаций. На территории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оказывают услуги населению 74</w:t>
      </w:r>
      <w:r>
        <w:rPr>
          <w:sz w:val="26"/>
          <w:szCs w:val="26"/>
        </w:rPr>
        <w:t xml:space="preserve"> предприятия общественного питания, из них 30 столовых учебных заведений, организаций и предприятий, 9 общедоступных столовых и закусочных, 35 баров, ресторанов и кафе, которые имеют 5671 посадочное место и площадь залов обслуживания – 11 тыс. кв. метров.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имеется широкий спектр услуг оказываемых населению. Число объектов бытового обслуживания составляет 169, в том числе: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ремонт, окраска и пошив обуви - 5;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ремонт и пошив швейных изделий, головных уборов - 13;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ремонт техническому обслуживанию бытовой радиоэлектронной аппаратуры – 12;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техническое обслуживание и ремонт транспортных средств - 42 и т.д.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Торговая отрасль в </w:t>
      </w:r>
      <w:r>
        <w:rPr>
          <w:sz w:val="26"/>
          <w:szCs w:val="26"/>
          <w:shd w:val="clear" w:color="auto" w:fill="ffffff"/>
        </w:rPr>
        <w:t xml:space="preserve">округе</w:t>
      </w:r>
      <w:r>
        <w:rPr>
          <w:sz w:val="26"/>
          <w:szCs w:val="26"/>
        </w:rPr>
        <w:t xml:space="preserve"> на 80% сформирована субъектами малого предпринимательства. Розничная торговля выполняет важные экономические и социальные функции, поддерживая  уровень жизни населения, занятости, развитие малого бизнеса и экономическое развитие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стабилизации и достижения положительной динамики по основным показателям организации торговли на территории Великоустюгского 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 активно реализуются меры, направленные на повышение эффективности работы за счёт повышения культуры и профессионализма обсл</w:t>
      </w:r>
      <w:r>
        <w:rPr>
          <w:sz w:val="26"/>
          <w:szCs w:val="26"/>
        </w:rPr>
        <w:t xml:space="preserve">уживания населения, внедрению прогрессивных форм торговли: самообслуживания, торговли в кредит, по заказам, техники работы со штрих - кодированием, оплаты пластиковыми картами, доступности и качества товаров для потребителей, более гибкой ценовой политики.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Cs w:val="26"/>
        </w:rPr>
      </w:pPr>
      <w:r>
        <w:rPr>
          <w:sz w:val="26"/>
          <w:szCs w:val="26"/>
        </w:rPr>
        <w:t xml:space="preserve">Материально-техническая база предприятий торговли претерпевает качественное преобразование. Открываются крупные магазины, оснащённые современным высокотехнологичным оборудованием, что позволяет </w:t>
      </w:r>
      <w:r>
        <w:rPr>
          <w:sz w:val="26"/>
          <w:szCs w:val="26"/>
        </w:rPr>
        <w:t xml:space="preserve">использовать новые методы и формы обслуживания. Благодаря этому, сокращается время на совершение покупки, создаются комфортные условия для покупателей, увеличивается количество расчётов за товары с использованием пластиковых карт через торговые терминалы. </w:t>
      </w:r>
      <w:r>
        <w:rPr>
          <w:szCs w:val="26"/>
        </w:rPr>
      </w:r>
      <w:r>
        <w:rPr>
          <w:szCs w:val="26"/>
        </w:rPr>
      </w:r>
    </w:p>
    <w:p>
      <w:pPr>
        <w:pStyle w:val="621"/>
        <w:jc w:val="center"/>
        <w:rPr>
          <w:sz w:val="26"/>
          <w:szCs w:val="26"/>
        </w:rPr>
      </w:pPr>
      <w:r>
        <w:rPr>
          <w:szCs w:val="26"/>
        </w:rPr>
        <w:t xml:space="preserve">25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проблемы, стоящие перед сферой торговли: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Отсутствие законодательной базы позволяющей органам местного самоуправления на правовой основе запрашивать информацию у бизнеса для проведения анализа деятельности отрасли торговли, в том числе по типам предприятий, ассортименту, товарным запасам и т.д.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Существующая система статистического учёта и информационного обеспечения потребительского рынка не позволяет проводить в полном объёме мониторинг и анализ развития сферы торговли, правильн</w:t>
      </w:r>
      <w:r>
        <w:rPr>
          <w:sz w:val="26"/>
          <w:szCs w:val="26"/>
        </w:rPr>
        <w:t xml:space="preserve">о спрогнозировать её развитие и обеспечить создание единого информационного пространства для современного динамичного функционирования сферы торговли. Полностью отсутствуют статистические данные по малому бизнесу, преобладающему в сфере розничной торговли.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Недостаточное развитие инфраструктуры для функционирования сферы торговли сельских территорий.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Сложившееся неравномерное размещение объектов торгового обслуживания не полностью отвечает потребностям населения, особенно в удалённых населённых пунктах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. Происходит это вследствие того, что и для крупных розничных компаний, и для индивидуальных предпринимателей нецелесообразно с экономической точки зрения от</w:t>
      </w:r>
      <w:r>
        <w:rPr>
          <w:sz w:val="26"/>
          <w:szCs w:val="26"/>
        </w:rPr>
        <w:t xml:space="preserve">крывать магазины в населённых пунктах с невысокой численностью населения, невысоким платежеспособным спросом и с недостаточно развитой инфраструктурой. Указанные проблемы замедляют динамику роста инвестиций в развитие потребительского рынка и сферы услуг.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158 населённых пунктов с численностью населения до 100 человек не имеют стационарных торговых точек, как</w:t>
      </w:r>
      <w:r>
        <w:rPr>
          <w:sz w:val="26"/>
          <w:szCs w:val="26"/>
        </w:rPr>
        <w:t xml:space="preserve"> следствие, сокращается обеспеченность жителей даже товарами первой необходимости. Частично данная проблема решается путём организации выездной торговли (75 населённых пунктов обеспечивается автомагазинами). Но вследствие малочисленности населённых пунктов</w:t>
      </w:r>
      <w:r>
        <w:rPr>
          <w:sz w:val="26"/>
          <w:szCs w:val="26"/>
        </w:rPr>
        <w:t xml:space="preserve">, необеспеченности транспортной доступностью (отсутствие постоянного моста через р. Северную Двину), высоких тарифов на энергоресурсы, высоких транспортных расходов, низкой платежеспособности сельского населения, дефицита отраслевых кадров, торговая деятел</w:t>
      </w:r>
      <w:r>
        <w:rPr>
          <w:sz w:val="26"/>
          <w:szCs w:val="26"/>
        </w:rPr>
        <w:t xml:space="preserve">ьность в таких населённых пунктах становится коммерчески неэффективной, убыточной, что делает ведение бизнеса непривлекательным. Поэтому, для обеспечения сельского населения качественными и безопасными товарами и услугами, необходима поддержка государства.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Дефицит квалифицированных кадров.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Недостаток трудовых ресурсов отмечается в низшем и среднем звеньях: продавцы, кассиры, руководители отделов. Рост сферы торговли обусловил приток в торговую отрасль работников с недостаточным ур</w:t>
      </w:r>
      <w:r>
        <w:rPr>
          <w:sz w:val="26"/>
          <w:szCs w:val="26"/>
        </w:rPr>
        <w:t xml:space="preserve">овнем образования и непрофильной квалификацией. При этом профессиональные кадры, работавшие ещё в советской торговле, как правило, имеют недостаточный объем знаний и навыков в стимулировании продаж, маркетинговых технологиях и коммуникациях. Решение данной</w:t>
      </w:r>
      <w:r>
        <w:rPr>
          <w:sz w:val="26"/>
          <w:szCs w:val="26"/>
        </w:rPr>
        <w:t xml:space="preserve"> проблемы возможно путём переподготовки и повышения квалификации кадров, проведения обучающих семинаров и тренингов внутри торговых сетевых компаний. Необходимо проводить в организациях потребительского рынка полноценную практику и стажировку обучающихся.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перечисленные факторы повлияют на развитие и совершенствование инфраструктуры потребительского рынка </w:t>
      </w:r>
      <w:r>
        <w:rPr>
          <w:sz w:val="26"/>
          <w:szCs w:val="26"/>
          <w:shd w:val="clear" w:color="auto" w:fill="ffffff"/>
        </w:rPr>
        <w:t xml:space="preserve">округа</w:t>
      </w:r>
      <w:r>
        <w:rPr>
          <w:sz w:val="26"/>
          <w:szCs w:val="26"/>
        </w:rPr>
        <w:t xml:space="preserve">, создавая тем самым конкурентную среду. Борьба за покупателя повлияет на внедрение инновационных форм и методов обслуживания в предприятиях торговли.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Механизм реализации мероприятий подпрограммы 2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подпрограммы 2 представлен в приложении № 1 к подпрограмме 2.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подпрограммы 2 представлено в приложении № 5 к муниципальной Программе.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подпрограммы 2 направлены на оказание методической, консультационной (проведение совещаний, семинаров, конференций с предприятиями торговли, обще</w:t>
      </w:r>
      <w:r>
        <w:rPr>
          <w:sz w:val="26"/>
          <w:szCs w:val="26"/>
        </w:rPr>
        <w:t xml:space="preserve">ственного питания, бытового обслуживания по вопросам изменений в законодательстве, улучшения качества обслуживания, по участию в закупках товаров, работ и услуг через ЕИС и «Электронный магазин»), финансовой помощи предпринимателям Великоустюгского округа.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мероприятия 1.2 перечня мероприятий подпрограммы 2 (приложение № 1 к подпрограмме 2) субъектам малого предпринимательства предоставляется </w:t>
      </w:r>
      <w:r>
        <w:rPr>
          <w:color w:val="000000"/>
          <w:sz w:val="26"/>
          <w:szCs w:val="26"/>
        </w:rPr>
        <w:t xml:space="preserve">субсидия в</w:t>
      </w:r>
      <w:r>
        <w:rPr>
          <w:color w:val="000000"/>
          <w:sz w:val="26"/>
          <w:szCs w:val="26"/>
        </w:rPr>
        <w:t xml:space="preserve"> соответствии с порядком предоставления субсидии субъектам малого предпринимательства сельского территориального отдела Ломоватское, реализующим продовольственные товары, на возмещение части затрат  за проезд вдоль магистрального газопровода «СРТО-Торжок».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мероприятий 1.3 перечня мероприятий подпрограммы 2 (приложение № 1 к подпрограмме 2) осуществляется предоставление субсидий субъектам МСП в соответствии с Порядком </w:t>
      </w:r>
      <w:r>
        <w:rPr>
          <w:color w:val="000000"/>
          <w:sz w:val="26"/>
          <w:szCs w:val="26"/>
        </w:rPr>
        <w:t xml:space="preserve">предоставления субсидии субъектам малого предпринимательства, осуществляющим деятельность по реализации продовольст</w:t>
      </w:r>
      <w:r>
        <w:rPr>
          <w:color w:val="000000"/>
          <w:sz w:val="26"/>
          <w:szCs w:val="26"/>
        </w:rPr>
        <w:t xml:space="preserve">-венных товаров в стационарной торговой сети на территории  территориального отдела Заречное и территориального отдела Кузино, на возмещение части затрат услуг паромной переправы Великий Устюг - Кузино - Великий Устюг при проезде автомобильного транспорта.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мероприятий 1.4 перечня мероприятий подпрограммы 2 (приложение № 1 к подпрограмме 2) осуществляется предоставление субсидий субъектам МСП в соответствии с порядком </w:t>
      </w:r>
      <w:r>
        <w:rPr>
          <w:color w:val="000000"/>
          <w:sz w:val="26"/>
          <w:szCs w:val="26"/>
        </w:rPr>
        <w:t xml:space="preserve">предоставления субсидии субъектам малого предпринимательства, осуществляющим деятельность по реализации продо</w:t>
      </w:r>
      <w:r>
        <w:rPr>
          <w:color w:val="000000"/>
          <w:sz w:val="26"/>
          <w:szCs w:val="26"/>
        </w:rPr>
        <w:t xml:space="preserve">вольственных товаров в стационарной торговой сети на территории территориального отдела Заречное и территориального отдела Кузино, на возмещение части затрат на доставку продовольственных товаров по автомобильной дороге через д. Теплогорье и       г. Луза.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ходе реализации мероприятия 1.5 перечня мероприятий подпрограммы 2 (приложение № 1 к подпрограмме 2) осуществляется предоставление субсидий субъектам МСП в соответствии с порядком </w:t>
      </w:r>
      <w:r>
        <w:rPr>
          <w:sz w:val="26"/>
          <w:szCs w:val="26"/>
        </w:rPr>
        <w:t xml:space="preserve">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пункты.</w: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621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621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мероприятий 1.6 перечня мероприятий подпрограммы 2 (приложение № 1 к подпрог</w:t>
      </w:r>
      <w:r>
        <w:rPr>
          <w:sz w:val="26"/>
          <w:szCs w:val="26"/>
        </w:rPr>
        <w:t xml:space="preserve">рамме 2) осуществляется предоставление субсидии в соответствии с правилами приобретения и расходования субсидий на приобретение специализированного автотранспорта для развития мобильной торговли в малонаселённых и (или) труднодоступных населённых пунктах.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Мероприятием 3 перечня мероприятий подпрограммы 2 (приложение № 1 к подпрограмме 2) предусмотрено финансирование на организацию проведения конкурса профессионального мастерства работников торговли, общественного питания, бытового обслуживания.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2 подлежит приведению в соответствие с решением о бюджете не позднее трёх месяцев со дня вступления его в силу.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Оценка эффективности и последствий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реализации подпрограммы 2</w: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770"/>
        <w:numPr>
          <w:ilvl w:val="0"/>
          <w:numId w:val="0"/>
        </w:numPr>
        <w:ind w:left="0" w:right="0" w:firstLine="0"/>
        <w:jc w:val="center"/>
        <w:widowControl/>
        <w:rPr>
          <w:rFonts w:ascii="Times New Roman" w:hAnsi="Times New Roman" w:cs="Times New Roman"/>
          <w:b/>
          <w:sz w:val="26"/>
          <w:szCs w:val="26"/>
        </w:rPr>
        <w:outlineLvl w:val="1"/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Администрацией округа в лице управления экономического развития осуществляется мониторинг реализации муниципальной подпрограммы 2 на основании полугодового мониторинга реализации программ и годовых отчётов о ходе их реализации.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77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Полугодовой мониторинг реализации меропр</w:t>
      </w:r>
      <w:r>
        <w:rPr>
          <w:rFonts w:ascii="Times New Roman" w:hAnsi="Times New Roman" w:cs="Times New Roman"/>
          <w:sz w:val="26"/>
          <w:szCs w:val="26"/>
        </w:rPr>
        <w:t xml:space="preserve">иятий муниципальной подпро-граммы ориентирован на раннее предупреждение возникновения проблем и отклонений хода реализации муниципальной программы от запланированного, составляется ежегодно до 25 июля и представляется в управление экономического развития.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Годовой отчёт о ходе реализации муниципальной подпрограммы формирует ответственный исполнитель с учётом информации в срок до 1 марта года, следующего за отчётным годом.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муниципальной подпрограммы 2 осуществляется на основании раздела «Оценка эффективности муниципальной программы» порядка разработки, реализации и оценки эффективности муниципальных программ Великоустюгского муниципального округа.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Программы опр</w:t>
      </w:r>
      <w:r>
        <w:rPr>
          <w:sz w:val="26"/>
          <w:szCs w:val="26"/>
        </w:rPr>
        <w:t xml:space="preserve">еделяется уровнем достижения запланированных показателей муниципальной программы, а также выполнением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реализации.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sz w:val="26"/>
          <w:szCs w:val="26"/>
        </w:rPr>
        <w:t xml:space="preserve">Анализ изменения показателей осуществляется ежегодно.</w:t>
      </w: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621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 w:orient="portrait"/>
          <w:pgMar w:top="1134" w:right="567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Приложение № 1 к подпрограмме 2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709"/>
        <w:jc w:val="righ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0"/>
        <w:ind w:left="0" w:right="0" w:firstLine="709"/>
        <w:jc w:val="right"/>
        <w:widowControl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pStyle w:val="77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 Е Р Е Ч Е Н Ь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jc w:val="center"/>
        <w:rPr>
          <w:color w:val="7f7f7f"/>
          <w:szCs w:val="28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основных мероприятий и финансовое обеспечение реализации муниципальной </w:t>
      </w:r>
      <w:r>
        <w:rPr>
          <w:rFonts w:ascii="Times New Roman" w:hAnsi="Times New Roman" w:cs="Times New Roman"/>
          <w:b/>
          <w:sz w:val="26"/>
        </w:rPr>
        <w:t xml:space="preserve">программы подпрограммы 2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постановления администрации Великоустюгского муниципального округа Вологодской области № 793 от 30.03.2023,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rFonts w:ascii="Times New Roman" w:hAnsi="Times New Roman" w:cs="Times New Roman"/>
          <w:color w:val="7f7f7f"/>
          <w:sz w:val="24"/>
          <w:szCs w:val="26"/>
        </w:rPr>
      </w:pPr>
      <w:r>
        <w:rPr>
          <w:color w:val="7f7f7f"/>
          <w:szCs w:val="28"/>
        </w:rPr>
        <w:t xml:space="preserve">№</w:t>
      </w:r>
      <w:r>
        <w:rPr>
          <w:color w:val="7f7f7f"/>
          <w:szCs w:val="28"/>
        </w:rPr>
        <w:t xml:space="preserve">414 от 16.02.2024) </w:t>
      </w:r>
      <w:r>
        <w:rPr>
          <w:rFonts w:ascii="Times New Roman" w:hAnsi="Times New Roman" w:cs="Times New Roman"/>
          <w:color w:val="7f7f7f"/>
          <w:sz w:val="24"/>
          <w:szCs w:val="26"/>
        </w:rPr>
      </w:r>
      <w:r>
        <w:rPr>
          <w:rFonts w:ascii="Times New Roman" w:hAnsi="Times New Roman" w:cs="Times New Roman"/>
          <w:color w:val="7f7f7f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color w:val="7f7f7f"/>
          <w:sz w:val="24"/>
          <w:szCs w:val="26"/>
        </w:rPr>
      </w:pPr>
      <w:r>
        <w:rPr>
          <w:rFonts w:ascii="Times New Roman" w:hAnsi="Times New Roman" w:cs="Times New Roman"/>
          <w:color w:val="7f7f7f"/>
          <w:sz w:val="24"/>
          <w:szCs w:val="26"/>
        </w:rPr>
      </w:r>
      <w:r>
        <w:rPr>
          <w:rFonts w:ascii="Times New Roman" w:hAnsi="Times New Roman" w:cs="Times New Roman"/>
          <w:color w:val="7f7f7f"/>
          <w:sz w:val="24"/>
          <w:szCs w:val="26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142"/>
        <w:gridCol w:w="2551"/>
        <w:gridCol w:w="142"/>
        <w:gridCol w:w="283"/>
        <w:gridCol w:w="1418"/>
        <w:gridCol w:w="142"/>
        <w:gridCol w:w="1701"/>
        <w:gridCol w:w="1039"/>
        <w:gridCol w:w="24"/>
        <w:gridCol w:w="1016"/>
        <w:gridCol w:w="47"/>
        <w:gridCol w:w="992"/>
        <w:gridCol w:w="71"/>
        <w:gridCol w:w="921"/>
        <w:gridCol w:w="48"/>
        <w:gridCol w:w="94"/>
        <w:gridCol w:w="992"/>
        <w:gridCol w:w="71"/>
        <w:gridCol w:w="1063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Ответственный  исполнитель,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соисполнитель,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исполнитель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основного мероприятия, мероприятия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программы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(подпрограммы)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Ожидаемый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непосредственный результат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Источник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финансового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обеспечения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Расходы (тыс. руб.)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2027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за период 2023-2027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sz w:val="22"/>
              </w:rPr>
              <w:t xml:space="preserve">11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  <w:lang w:val="en-US"/>
              </w:rPr>
              <w:t xml:space="preserve">I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Итого по муниципальной подпрограмме 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2334,9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6242,1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2898,1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2039,3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16412,5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собственные доходы бюджета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1214,6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2506,5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1119,0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7078,1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межбюджетные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трансферты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из областного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1120,3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3735,6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1779,1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1779,1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920,3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9334,4</w:t>
            </w:r>
            <w:r/>
          </w:p>
        </w:tc>
      </w:tr>
      <w:tr>
        <w:tblPrEx/>
        <w:trPr>
          <w:trHeight w:val="23"/>
        </w:trPr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1. Оказание финансовой поддержки субъектам малого и среднего предпринимательства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Содействие в участии субъектов малого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предпринимательства округа в электронной системе «Электронный магазин»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для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1.2</w:t>
            </w:r>
            <w:r/>
          </w:p>
          <w:p>
            <w:r/>
            <w:r/>
          </w:p>
          <w:p>
            <w:r/>
          </w:p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 </w:t>
            </w:r>
            <w:r/>
          </w:p>
          <w:p>
            <w:r/>
            <w:r/>
          </w:p>
          <w:p>
            <w:r/>
          </w:p>
          <w:p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за проезд вдоль магистрального газопровода при доставке продовольственных товаров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highlight w:val="none"/>
              </w:rPr>
            </w:pPr>
            <w:r>
              <w:t xml:space="preserve">Повышение доступности товаров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для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621"/>
              <w:jc w:val="center"/>
              <w:shd w:val="clear" w:color="auto" w:fill="ffffff"/>
              <w:rPr>
                <w:highlight w:val="none"/>
              </w:rPr>
            </w:pPr>
            <w:r>
              <w:t xml:space="preserve">Собственные доходы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 бюджета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493,4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493,4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493,4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493,4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493,4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2467,0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за услуги паромной переправы при доставке продовольственных товаров автомобильным транспортом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441,0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395,8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395,8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395,8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441,0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2069,4</w:t>
            </w:r>
            <w:r/>
          </w:p>
        </w:tc>
      </w:tr>
      <w:tr>
        <w:tblPrEx/>
        <w:trPr>
          <w:trHeight w:val="122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на горюче-смазочные материалы при доставке продовольственных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товаров автомобильным транспортом в условиях отсутствия паромной переправы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121,2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136,2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136,2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136,2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136,2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666,0</w:t>
            </w:r>
            <w:r/>
          </w:p>
        </w:tc>
      </w:tr>
      <w:tr>
        <w:tblPrEx/>
        <w:trPr>
          <w:trHeight w:val="11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на горюче-смазочные материалы при доставке продовольственных товаров в малонаселённые и (или) труднодоступные населённые пункты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59,0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63,7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48,4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48,4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267,9</w:t>
            </w:r>
            <w:r/>
          </w:p>
        </w:tc>
      </w:tr>
      <w:tr>
        <w:tblPrEx/>
        <w:trPr>
          <w:trHeight w:val="12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Межбюджетные трансферты из областного бюджета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1120,3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1210,0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920,3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920,3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920,3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5091,2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1.3</w:t>
            </w:r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t xml:space="preserve">Управления экономического развития </w:t>
            </w:r>
            <w:r/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Возмещение части затрат  на приобретение специализированного автотранспорта для развития мобильной торговли в малонаселённых и (или) труднодоступных населённых пунктах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качества обслуживания и доступности товаров для населения округа</w:t>
            </w:r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832,2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832,2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Межбюджетные трансферты из областного бюджета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1666,8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1666,8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r>
              <w:t xml:space="preserve">1.4</w:t>
            </w:r>
            <w:r/>
          </w:p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r>
              <w:t xml:space="preserve">Возмещение части затрат на доставку товаров в социально значимые магазины в малонаселенных и (или) трудоспособных населенных пунктах</w:t>
            </w:r>
            <w:r/>
          </w:p>
          <w:p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r>
              <w:t xml:space="preserve">Обеспечение жителей малонаселенных и (или) труднодоступных населенных пунктов, в которых функционирует социальнозначимый магазин, продовольственными товарами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бюджета округа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45,2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45,2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135,6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Межбюджетные трансферты из областного бюджета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858,8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858,8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858,8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2576,4</w:t>
            </w:r>
            <w:r/>
          </w:p>
        </w:tc>
      </w:tr>
      <w:tr>
        <w:tblPrEx/>
        <w:trPr>
          <w:trHeight w:val="23"/>
        </w:trPr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2. Информационно-консультационная поддержка субъектов малого и среднего предпринимательства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Проведение совещаний, семинаров, конференций с предприятиями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торговли, общественного питания, бытового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обслуживания по вопросам изменений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в законодательстве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для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Проведение мероприятий по участию в закупках товаров, работ и услуг через ЕИС и «Электронный магазин» малого и среднего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бизнеса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2.2</w:t>
            </w:r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Привлечение производителей товаров, работ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 и услуг, мастеров народных промыслов к участию в ярмарочных мероприятиях, в том числе социальных предпринимателей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«самозанятых» граждан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для населения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Осуществление контроля за процессом формирования торговой инфраструктуры с учётом минимальных нормативов обеспеченности населения площадью торговых объектов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3. Пропаганда и популяризация предпринимательской деятельности</w:t>
            </w:r>
            <w:r/>
          </w:p>
        </w:tc>
      </w:tr>
      <w:tr>
        <w:tblPrEx/>
        <w:trPr>
          <w:trHeight w:val="1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Организация проведения конкурса профессионального мастерства работников торговли и общественного питания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для населения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бюджета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100,0</w:t>
            </w:r>
            <w:r/>
          </w:p>
        </w:tc>
      </w:tr>
      <w:tr>
        <w:tblPrEx/>
        <w:trPr>
          <w:trHeight w:val="1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3.2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Благоустройство ярмарочных домиков холодильным и торговым оборудованием для реализации фермерской продукции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для населения округа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Собственные доходы 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бюджета 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округа</w:t>
            </w:r>
            <w:r/>
            <w:r/>
          </w:p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540,0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540,0</w:t>
            </w:r>
            <w:r/>
          </w:p>
        </w:tc>
      </w:tr>
      <w:tr>
        <w:tblPrEx/>
        <w:trPr>
          <w:trHeight w:val="23"/>
        </w:trPr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4. Создание условий для продвижения продукции местного производства, в том числе маркируемой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21"/>
              <w:jc w:val="center"/>
              <w:shd w:val="clear" w:color="auto" w:fill="ffffff"/>
            </w:pPr>
            <w:r>
              <w:rPr>
                <w:b/>
              </w:rPr>
              <w:t xml:space="preserve">товарным знаком «Настоящий Вологодский продукт», на внутреннем и внешнем продовольственных рынках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Управления экономического развития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Проведение мероприятий, способствующих продвижению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вологодской продукции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на потребительский рынок округа, в том числе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к увеличению количества магазинов «Настоящий Вологодский 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продукт»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Повышение доступности товаров для населения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В рамках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основной</w:t>
            </w:r>
            <w:r/>
          </w:p>
          <w:p>
            <w:pPr>
              <w:pStyle w:val="621"/>
              <w:jc w:val="center"/>
              <w:shd w:val="clear" w:color="auto" w:fill="ffffff"/>
            </w:pPr>
            <w:r>
              <w:t xml:space="preserve">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>
              <w:t xml:space="preserve">Предоставление субъектам МСП (производителям товаров) муниципальных преференций в виде предоставления мест для размещения нестационарных и мобильных торговых объектов на льготных условиях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</w:pPr>
            <w:r/>
            <w:r/>
          </w:p>
        </w:tc>
      </w:tr>
    </w:tbl>
    <w:p>
      <w:pPr>
        <w:pStyle w:val="621"/>
        <w:jc w:val="center"/>
        <w:shd w:val="clear" w:color="auto" w:fill="ffffff"/>
      </w:pPr>
      <w:r/>
      <w:r/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Приложение 2 к Подпрограмме № 2</w:t>
      </w: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923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709"/>
        <w:jc w:val="right"/>
        <w:widowControl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целевых показателях (индикаторах) подпрограммы 2</w:t>
      </w: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"/>
        <w:gridCol w:w="2556"/>
        <w:gridCol w:w="3510"/>
        <w:gridCol w:w="34"/>
        <w:gridCol w:w="1100"/>
        <w:gridCol w:w="34"/>
        <w:gridCol w:w="921"/>
        <w:gridCol w:w="71"/>
        <w:gridCol w:w="1134"/>
        <w:gridCol w:w="1077"/>
        <w:gridCol w:w="1077"/>
        <w:gridCol w:w="1078"/>
        <w:gridCol w:w="1077"/>
        <w:gridCol w:w="1078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направленная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достижение цели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7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по годам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7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11</w:t>
            </w:r>
            <w:r/>
          </w:p>
        </w:tc>
      </w:tr>
      <w:tr>
        <w:tblPrEx/>
        <w:trPr>
          <w:trHeight w:val="23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создание условий для устойчивого роста экономики,</w:t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  <w:r>
              <w:rPr>
                <w:rFonts w:ascii="Times New Roman" w:hAnsi="Times New Roman" w:cs="Times New Roman"/>
                <w:sz w:val="24"/>
                <w:szCs w:val="26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развития малого предпринимательства Великоустюгского муниципального округа</w:t>
            </w:r>
            <w:r/>
          </w:p>
        </w:tc>
      </w:tr>
      <w:tr>
        <w:tblPrEx/>
        <w:trPr>
          <w:trHeight w:val="23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торговли»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Совершенствование форм и методов координации управления в сфере торговли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малонаселённых и труднодоступных населённых пунктов, в которые фактически осуществляется доставка социально значимых товаров, относительно количества малонаселённых и труднодоступных населённых пунктов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6"/>
              </w:rPr>
              <w:t xml:space="preserve">%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ind w:left="0" w:right="0" w:firstLine="185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000000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6"/>
              </w:rPr>
              <w:t xml:space="preserve">100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Повышение экономической доступности товаров для населения в целях реализации социальной политики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vMerge w:val="continue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6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zCs w:val="26"/>
              </w:rPr>
              <w:t xml:space="preserve">Стимулирование деловой активности и повышение конкуренции в сфере торговой 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участия малого и среднего предпринимательства в государственных закупках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6"/>
              </w:rPr>
              <w:t xml:space="preserve">Ед.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rPr>
                <w:sz w:val="22"/>
                <w:szCs w:val="26"/>
              </w:rPr>
            </w:pPr>
            <w:r>
              <w:rPr>
                <w:color w:val="000000"/>
                <w:szCs w:val="26"/>
              </w:rPr>
              <w:t xml:space="preserve">не менее 1000</w:t>
            </w:r>
            <w:r>
              <w:rPr>
                <w:sz w:val="22"/>
                <w:szCs w:val="26"/>
              </w:rPr>
            </w:r>
            <w:r>
              <w:rPr>
                <w:sz w:val="22"/>
                <w:szCs w:val="26"/>
              </w:rPr>
            </w:r>
          </w:p>
          <w:p>
            <w:pPr>
              <w:pStyle w:val="621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</w:r>
            <w:r>
              <w:rPr>
                <w:sz w:val="22"/>
                <w:szCs w:val="26"/>
              </w:rPr>
            </w:r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9781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781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9781"/>
        <w:jc w:val="center"/>
        <w:widowControl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Приложение № 3 к подпрограмме 2</w:t>
      </w: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0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</w:r>
      <w:r>
        <w:rPr>
          <w:rFonts w:ascii="Times New Roman" w:hAnsi="Times New Roman" w:cs="Times New Roman"/>
          <w:bCs/>
          <w:sz w:val="24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 В Е Д Е Н И Я</w:t>
      </w:r>
      <w:r>
        <w:rPr>
          <w:rFonts w:ascii="Times New Roman" w:hAnsi="Times New Roman" w:cs="Times New Roman"/>
          <w:b/>
          <w:sz w:val="26"/>
          <w:szCs w:val="24"/>
        </w:rPr>
      </w:r>
      <w:r>
        <w:rPr>
          <w:rFonts w:ascii="Times New Roman" w:hAnsi="Times New Roman" w:cs="Times New Roman"/>
          <w:b/>
          <w:sz w:val="26"/>
          <w:szCs w:val="24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порядке сбора информации и методике расчёта целевых показателей (индикаторов) подпрограммы 2</w:t>
      </w: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2410"/>
        <w:gridCol w:w="283"/>
        <w:gridCol w:w="1276"/>
        <w:gridCol w:w="1843"/>
        <w:gridCol w:w="2835"/>
        <w:gridCol w:w="1274"/>
        <w:gridCol w:w="1418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методологические пояснения к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в формуле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индекс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(индикатору) 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9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малонаселённых и труднодоступных населённых пунктов, в которые фактически осуществляется доставка социально значимых товаров, относительно количества малонаселённых и труднодоступных населённых пунктов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малонаселённых и труднодоступных населённых пунктов, в которые фактически осуществлялась доставка в отчётном периоде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малонаселённых и труднодоступных населённых пунктов Великоустюгского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= Пф / По х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малонаселённых и труднодоступных населённых пунктов;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малонаселённых и труднодоступных населённых пунктов, в которые фактически осуществлялась доставка в отчётном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малонаселённых и труднодоступных населённых пунктов Великоустюгского муниципального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Вологдастата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770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возможности участия малого и среднего предпринимательства в государственных закупках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из отчёта системы «Электронный магазин»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0"/>
              <w:ind w:left="0"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</w:t>
            </w:r>
            <w:r/>
          </w:p>
        </w:tc>
      </w:tr>
    </w:tbl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621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6838" w:h="11906" w:orient="landscape"/>
          <w:pgMar w:top="1701" w:right="851" w:bottom="426" w:left="85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621"/>
        <w:jc w:val="center"/>
        <w:rPr>
          <w:rFonts w:eastAsia="Calibri"/>
          <w:b/>
        </w:rPr>
      </w:pPr>
      <w:r>
        <w:rPr>
          <w:b/>
        </w:rPr>
        <w:t xml:space="preserve">3. Подпрограмма 3</w:t>
      </w:r>
      <w:r>
        <w:rPr>
          <w:rFonts w:eastAsia="Calibri"/>
          <w:b/>
        </w:rPr>
      </w:r>
      <w:r>
        <w:rPr>
          <w:rFonts w:eastAsia="Calibri"/>
          <w:b/>
        </w:rPr>
      </w:r>
    </w:p>
    <w:p>
      <w:pPr>
        <w:pStyle w:val="62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«Развитие туризма в Великоустюгском муниципальном округе</w:t>
      </w:r>
      <w:r>
        <w:rPr>
          <w:rFonts w:eastAsia="Calibri"/>
          <w:b/>
        </w:rPr>
      </w:r>
      <w:r>
        <w:rPr>
          <w:rFonts w:eastAsia="Calibri"/>
          <w:b/>
        </w:rPr>
      </w:r>
    </w:p>
    <w:p>
      <w:pPr>
        <w:pStyle w:val="621"/>
        <w:jc w:val="center"/>
        <w:rPr>
          <w:rFonts w:eastAsia="Calibri"/>
        </w:rPr>
      </w:pPr>
      <w:r>
        <w:rPr>
          <w:rFonts w:eastAsia="Calibri"/>
          <w:b/>
        </w:rPr>
        <w:t xml:space="preserve">на 2024-2027 годы»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jc w:val="center"/>
        <w:rPr>
          <w:color w:val="7f7f7f"/>
          <w:szCs w:val="28"/>
        </w:rPr>
      </w:pPr>
      <w:r>
        <w:rPr>
          <w:rFonts w:eastAsia="Calibri"/>
        </w:rPr>
        <w:t xml:space="preserve">(далее – подпрограмма 3)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  <w:rPr>
          <w:color w:val="7f7f7f"/>
          <w:szCs w:val="28"/>
        </w:rPr>
      </w:pPr>
      <w:r>
        <w:rPr>
          <w:color w:val="7f7f7f"/>
          <w:szCs w:val="28"/>
        </w:rPr>
        <w:t xml:space="preserve">(в редакции постановления администрации Великоустюгского муниципального </w:t>
      </w:r>
      <w:r>
        <w:rPr>
          <w:color w:val="7f7f7f"/>
          <w:szCs w:val="28"/>
        </w:rPr>
      </w:r>
      <w:r>
        <w:rPr>
          <w:color w:val="7f7f7f"/>
          <w:szCs w:val="28"/>
        </w:rPr>
      </w:r>
    </w:p>
    <w:p>
      <w:pPr>
        <w:pStyle w:val="621"/>
        <w:ind w:left="0" w:right="-2" w:firstLine="0"/>
        <w:jc w:val="center"/>
        <w:tabs>
          <w:tab w:val="left" w:pos="4253" w:leader="none"/>
          <w:tab w:val="left" w:pos="4820" w:leader="none"/>
        </w:tabs>
      </w:pPr>
      <w:r>
        <w:rPr>
          <w:color w:val="7f7f7f"/>
          <w:szCs w:val="28"/>
        </w:rPr>
        <w:t xml:space="preserve">округа Вологодской области №76 от 16.01.2024) </w:t>
      </w:r>
      <w:r/>
    </w:p>
    <w:p>
      <w:pPr>
        <w:pStyle w:val="621"/>
        <w:jc w:val="center"/>
      </w:pPr>
      <w:r/>
      <w:r/>
    </w:p>
    <w:p>
      <w:pPr>
        <w:pStyle w:val="621"/>
        <w:jc w:val="center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jc w:val="center"/>
        <w:rPr>
          <w:b/>
        </w:rPr>
      </w:pPr>
      <w:r>
        <w:rPr>
          <w:b/>
        </w:rPr>
        <w:t xml:space="preserve">Паспорт подпрограммы 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</w:r>
      <w:r>
        <w:rPr>
          <w:b/>
        </w:rPr>
      </w:r>
    </w:p>
    <w:tbl>
      <w:tblPr>
        <w:tblW w:w="0" w:type="auto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9"/>
        <w:gridCol w:w="6949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Ответственный исполнитель подпрограммы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rFonts w:eastAsia="Calibri"/>
                <w:szCs w:val="28"/>
              </w:rPr>
              <w:t xml:space="preserve">Управление экономического развития  администрации Великоустюгского муниципального округа 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Цель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rPr>
                <w:color w:val="000000"/>
                <w:szCs w:val="28"/>
              </w:rPr>
              <w:t xml:space="preserve">создание благоприятных условий для динамичного развития туризма на территории Великоустюгского муниципального округа 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Задачи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1. Развитие приоритетных туристских проектов «Великий Устюг – родина Деда Мороза» и «Серебряное ожерелье России». 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Развитие туристско-рекреационного кластера «Великий Устюг – сказочная столица России».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Создание и продвижение крупных событийных мероприятий на территории Великоустюгского муниципального округа. 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Приоритетное развитие культурно-познавательного, событийного, детского, активного, сельского, экологического,  лечебно-оздоровительного,  спортивного, делового туризма. 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Развитие потенциала сельского туризма, рост туристского потока в сельских поселениях на территории Великоустюгского муниципального округа.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Развитие туристской навигации.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7. Создание новых объектов показа и новых туристских маршрутов.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8. Совершенствование системы подготовки и обучения квалифицированных кадров в сфере туризма.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</w:pPr>
            <w:r>
              <w:rPr>
                <w:rFonts w:eastAsia="Calibri"/>
                <w:szCs w:val="28"/>
              </w:rPr>
              <w:t xml:space="preserve">9. Формирование положительного туристского имиджа на международных, межрегиональных и региональных туристских мероприятиях, средствах массовой информации и сети Интернета.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Целевые показатели (индикаторы) подпрограммы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szCs w:val="28"/>
              </w:rPr>
              <w:t xml:space="preserve">перечень целевых показателей подпрограммы 3 приведен в приложении № 3 к муниципальной программе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Сроки реализации подпрограммы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  <w:rPr>
                <w:szCs w:val="28"/>
              </w:rPr>
            </w:pPr>
            <w:r>
              <w:rPr>
                <w:szCs w:val="28"/>
              </w:rPr>
              <w:t xml:space="preserve">2024-2027 годы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621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Объёмы финансового  обеспечения подпрограммы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color w:val="000000"/>
                <w:szCs w:val="28"/>
              </w:rPr>
              <w:t xml:space="preserve">объём финансирования на 2024-2027 годы – 11684,6 тыс. руб.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Cs w:val="28"/>
              </w:rPr>
              <w:t xml:space="preserve">Ожидаемые результаты реализации подпрограммы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9" w:type="dxa"/>
            <w:vAlign w:val="top"/>
            <w:textDirection w:val="lrTb"/>
            <w:noWrap w:val="false"/>
          </w:tcPr>
          <w:p>
            <w:pPr>
              <w:pStyle w:val="621"/>
              <w:rPr>
                <w:szCs w:val="28"/>
              </w:rPr>
            </w:pPr>
            <w:r>
              <w:rPr>
                <w:szCs w:val="28"/>
              </w:rPr>
              <w:t xml:space="preserve">1) увеличение числа посетителей, всего по Великоустюгскому муниципальному округу до 750тысяч  в 2027 году;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2) увеличение количество туристов,  всего по Великоустюгскому муниципальному  округу до 90 тысяч к 2027 году; 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3) создание не менее 1 нового объекта показа и туристского  маршрута в год; 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21"/>
            </w:pPr>
            <w:r>
              <w:rPr>
                <w:rFonts w:eastAsia="Calibri"/>
                <w:szCs w:val="28"/>
              </w:rPr>
              <w:t xml:space="preserve">4) публикация не менее 50 материалов о туристском потенциале района в СМИ, сети Интернет и соц. сетях 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в год.</w:t>
            </w:r>
            <w:r/>
          </w:p>
        </w:tc>
      </w:tr>
    </w:tbl>
    <w:p>
      <w:pPr>
        <w:pStyle w:val="621"/>
        <w:numPr>
          <w:ilvl w:val="0"/>
          <w:numId w:val="0"/>
        </w:numPr>
        <w:rPr>
          <w:b/>
        </w:rPr>
        <w:outlineLvl w:val="1"/>
      </w:pP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center"/>
        <w:rPr>
          <w:b/>
        </w:rPr>
        <w:outlineLvl w:val="1"/>
      </w:pP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center"/>
        <w:rPr>
          <w:b/>
        </w:rPr>
        <w:outlineLvl w:val="1"/>
      </w:pP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center"/>
        <w:rPr>
          <w:b/>
        </w:rPr>
        <w:outlineLvl w:val="1"/>
      </w:pPr>
      <w:r>
        <w:rPr>
          <w:b/>
        </w:rPr>
        <w:t xml:space="preserve">1. Общая характеристика </w:t>
      </w: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center"/>
        <w:rPr>
          <w:b/>
        </w:rPr>
        <w:outlineLvl w:val="1"/>
      </w:pPr>
      <w:r>
        <w:rPr>
          <w:b/>
        </w:rPr>
        <w:t xml:space="preserve">сферы реализации подпрограммы 3</w:t>
      </w: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center"/>
        <w:rPr>
          <w:b/>
        </w:rPr>
        <w:outlineLvl w:val="1"/>
      </w:pPr>
      <w:r>
        <w:rPr>
          <w:b/>
        </w:rPr>
      </w:r>
      <w:r>
        <w:rPr>
          <w:b/>
        </w:rPr>
      </w:r>
    </w:p>
    <w:p>
      <w:pPr>
        <w:pStyle w:val="621"/>
        <w:ind w:left="0" w:right="0" w:firstLine="709"/>
        <w:jc w:val="both"/>
      </w:pPr>
      <w:r>
        <w:t xml:space="preserve">Настоящая </w:t>
      </w:r>
      <w:r>
        <w:rPr>
          <w:bCs/>
        </w:rPr>
        <w:t xml:space="preserve">под</w:t>
      </w:r>
      <w:r>
        <w:t xml:space="preserve">программа 3 </w:t>
      </w:r>
      <w:r>
        <w:rPr>
          <w:bCs/>
          <w:color w:val="000000"/>
        </w:rPr>
        <w:t xml:space="preserve">«Развитие туризма в Великоустюгском муниципальном  округе  на 2024-2027 годы</w:t>
      </w:r>
      <w:r>
        <w:t xml:space="preserve">»  (далее – подпрограмма 3) разработана в соответствии с Федеральным законом </w:t>
      </w:r>
      <w:r>
        <w:rPr>
          <w:rFonts w:eastAsia="Calibri"/>
        </w:rPr>
        <w:t xml:space="preserve"> от 24.11.1996 № 132-ФЗ «Об основах туристск</w:t>
      </w:r>
      <w:r>
        <w:rPr>
          <w:rFonts w:eastAsia="Calibri"/>
        </w:rPr>
        <w:t xml:space="preserve">ой деятельности в Российской Федерации», концепцией  федеральной целевой программы "Развитие внутреннего и въездного туризма в Российской Федерации (2019 - 2025 годы)", утвержденная распоряжением Правительства РФ от 05.05.2018 № 872-р (ред. от 11.07.2019).</w:t>
      </w:r>
      <w:r/>
    </w:p>
    <w:p>
      <w:pPr>
        <w:pStyle w:val="621"/>
        <w:ind w:left="0" w:right="0" w:firstLine="709"/>
        <w:jc w:val="both"/>
      </w:pPr>
      <w:r>
        <w:t xml:space="preserve">Приоритеты подпрограммы 3 соответствуют Указу президента РФ от 07.05.2018 № 204 «О национальных целях и стратегических задачах развития Российской Федерации до 2024 года», Стратегии социально-экономического развития Вологод</w:t>
      </w:r>
      <w:r>
        <w:t xml:space="preserve">ской области до 2030 года, «Стратегия развития туризма в Российской Федерации на период до 2035 года» утверждена распоряжением Правительства РФ от 20 сентября 2019 года № 2129-р, Указ Президента РФ № 474 «О национальных целях развития России до 2030 года».</w:t>
      </w:r>
      <w:r/>
    </w:p>
    <w:p>
      <w:pPr>
        <w:pStyle w:val="621"/>
        <w:ind w:left="0" w:right="0" w:firstLine="709"/>
        <w:jc w:val="both"/>
      </w:pPr>
      <w:r>
        <w:t xml:space="preserve">Цель и задачи реализации подпрограммы 3, перечень целевых показателей, а также мероприятий подпрограммы 3 сформированы на основе указанных приоритетов, а также анализа состояния и перспектив развития туризма  Великоустюгского муниципального округа.</w:t>
      </w:r>
      <w:r/>
    </w:p>
    <w:p>
      <w:pPr>
        <w:pStyle w:val="621"/>
        <w:jc w:val="both"/>
      </w:pPr>
      <w:r/>
      <w:r/>
    </w:p>
    <w:p>
      <w:pPr>
        <w:pStyle w:val="621"/>
        <w:jc w:val="center"/>
        <w:rPr>
          <w:b/>
        </w:rPr>
      </w:pPr>
      <w:r>
        <w:rPr>
          <w:b/>
        </w:rPr>
        <w:t xml:space="preserve">2. Характеристика сферы реализации подпрограммы 3,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  <w:t xml:space="preserve">описание основных проблем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Туризм – одно из приоритетн</w:t>
      </w:r>
      <w:r>
        <w:rPr>
          <w:rFonts w:eastAsia="Calibri"/>
        </w:rPr>
        <w:t xml:space="preserve">ых направлений развития экономики в Великоустюгского муниципального округа. Туризм играет важную роль в решении социальных проблем, обеспечивая создание новых рабочих мест, в том числе временных, рост занятости и повышение благосостояния населения округа.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Ос</w:t>
      </w:r>
      <w:r>
        <w:rPr>
          <w:rFonts w:eastAsia="Calibri"/>
        </w:rPr>
        <w:t xml:space="preserve">новной проблемой для динамичного развития туризма на территории Великоустюгского округа является не допустить снижение туристского потока в округе, закрытие туристических компаний, занимающихся приемом туристов и сокращение рабочих мест в отрасли туризма.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Конкурентными преимуществами в развитии туризма в округе являются: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-бренд «Великий Устюг – родина Деда Мороза», получивший общероссийскую известность;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богатое культурное наследие, в том числе памятники гражданской и культовой архитектуры 17 – 19 веков;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 уникальное по богатству и разнообразию природное наследие;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сохраненные народные художественные промыслы («северная чернь», роспись и резьба по </w:t>
      </w:r>
      <w:r>
        <w:rPr>
          <w:rFonts w:eastAsia="Calibri"/>
          <w:color w:val="000000"/>
        </w:rPr>
        <w:t xml:space="preserve">бересте);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самобытная деревенская культура и народные традиции;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благоприятная экологическая ситуация;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-новые туристские проекты («Музей кукол», музей-мастерская «Озорной  волчек», «Салон уездного города»  и «Сказочная деревня Кузнецова»).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Великоустюгский муниципальный округ сегодня является одним из самых посе</w:t>
      </w:r>
      <w:r>
        <w:rPr>
          <w:rFonts w:eastAsia="Calibri"/>
        </w:rPr>
        <w:t xml:space="preserve">щаемых в Вологодской области, туристский поток ежегодно увеличивается. Но на сегодняшний день сложно говорить о целостности и стабильности успехов в туристской отрасли округа, о сбалансированности рынка туристических услуг и их разнообразии по ряду причин: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</w:pPr>
      <w:r>
        <w:rPr>
          <w:rFonts w:eastAsia="Calibri"/>
        </w:rPr>
        <w:t xml:space="preserve">- ярко выраженная сезонность туризма. Решение данной проблемы возможно путем развития различных видов туризма, расширением спектра турпредложений;</w:t>
      </w:r>
      <w:r/>
    </w:p>
    <w:p>
      <w:pPr>
        <w:pStyle w:val="621"/>
        <w:ind w:left="0" w:right="0" w:firstLine="709"/>
        <w:jc w:val="both"/>
        <w:rPr>
          <w:rFonts w:eastAsia="Calibri"/>
        </w:rPr>
      </w:pPr>
      <w:r>
        <w:t xml:space="preserve">- недостаточный уровень профессиональной подготовки кадров в сфере </w:t>
      </w:r>
      <w:r>
        <w:t xml:space="preserve">туризма. Данная проблема решается через проведение комплекса мероприятий, направленных на повышение качества услуг и обучение персонала, знакомство с передовым опытом через участие в выставках, форумах, семинарах и других мероприятиях за пределами региона;</w:t>
      </w:r>
      <w:r>
        <w:rPr>
          <w:b/>
          <w:bCs/>
          <w:shd w:val="clear" w:color="auto" w:fill="ffffff"/>
        </w:rPr>
        <w:t xml:space="preserve">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- низкое качество сервиса туристской инфраструктуры. Повышение качества предоставляемых туристам услуг и развитие туристской инфраструктуры – клю</w:t>
      </w:r>
      <w:r>
        <w:rPr>
          <w:rFonts w:eastAsia="Calibri"/>
        </w:rPr>
        <w:t xml:space="preserve">чевое направление развития сферы туризма в целом. Необходимо своевременно проводить мероприятия по переоборудованию и ремонту туристских объектов, обучению персонала, осуществлять регулярные мониторинги удовлетворенности туристов предоставленными услугами;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rFonts w:eastAsia="Calibri"/>
        </w:rPr>
        <w:t xml:space="preserve">недостаточное развитие объектов индустрии развлечений. Необходимо развивать инфраструктуру для отдыха и развлечений туристов, включающую в себя развлекательные и спортивные центры, обустройство зон отдыха.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- несоответствие цены и качества услуг. Решение данной проблемы возможно путем развития конкуренции в сфере туризма.</w: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невыгодные экономические условия для привлечения инвестиций в туристскую инфраструктуру, отсутствие готовых инвестиционных </w:t>
      </w:r>
      <w:r>
        <w:rPr>
          <w:rFonts w:eastAsia="Calibri"/>
        </w:rPr>
        <w:t xml:space="preserve">площадок; Для решения данной проблемы необходимо подготовить инвестиционные предложения с предоставлением земельных участков для строительства туристской инфраструктуры, включая места проживания, питания и т.д.;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неразвитость транспортной инфраструктуры (низкое качество дорог и уровня придорожного обслуживания и т. д.)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- недостаточное рекламно-информационное обеспечение продвижени</w:t>
      </w:r>
      <w:r>
        <w:rPr>
          <w:rFonts w:eastAsia="Calibri"/>
        </w:rPr>
        <w:t xml:space="preserve">я туристского продукта на внутреннем и внешнем рынках. Необходимо планирование информационного продвижения с использованием всех доступных технологий: участия в выставках и конференциях, публикации информации в специализированных изданиях, в сети Интернет.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Реализация мероприятий подпрограммы 3 даст округу  новые экономические возможности, которые связаны с развитием туризма. Настоящие мероприятия направлены на использование и сохранение богатейших туристских ресурсов муниц</w:t>
      </w:r>
      <w:r>
        <w:rPr>
          <w:rFonts w:eastAsia="Calibri"/>
        </w:rPr>
        <w:t xml:space="preserve">ипального образования, формирование конкурентоспособной среды, сопутствующей устойчивому развитию туризма, современной индустрии туризма и соответствующей материальной базы. Таким образом, подпрограмма 3 предусматривает комплексное развитие сферы туризма.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Союзу русских Ганзейских городов объединил старинные русские города исторически связанных со средневековым объединен</w:t>
      </w:r>
      <w:r>
        <w:rPr>
          <w:rFonts w:eastAsia="Calibri"/>
        </w:rPr>
        <w:t xml:space="preserve">ием европейских купцов -Ганза.  Учредителями Союза входят 15 русских Ганзейских городов: Белозерск, Великий Новгород, Великий Устюг, Вологда, Ивангород, Кингисепп, Псков, Тверь,  Торжок, Вышний Волочек, Старая Русса, Тотьма, Смоленск, Калининград, Порхов.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</w:pPr>
      <w:r>
        <w:rPr>
          <w:rFonts w:eastAsia="Calibri"/>
        </w:rPr>
        <w:t xml:space="preserve">Целью Союза является расширение и укрепление культурных, научных, общественных и экономических связей между членами Союза и зарубежными партнерами - городами Ганзейской Лиги Нового Времени. </w:t>
      </w:r>
      <w:r/>
    </w:p>
    <w:p>
      <w:pPr>
        <w:pStyle w:val="621"/>
        <w:jc w:val="both"/>
        <w:rPr>
          <w:b/>
        </w:rPr>
      </w:pPr>
      <w:r>
        <w:t xml:space="preserve">  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  <w:t xml:space="preserve">3. Механизм реализации мероприятия подпрограммы 3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1"/>
        <w:ind w:left="0" w:right="0" w:firstLine="709"/>
        <w:jc w:val="both"/>
        <w:rPr>
          <w:rFonts w:eastAsia="Calibri"/>
        </w:rPr>
      </w:pPr>
      <w:r>
        <w:rPr>
          <w:rFonts w:eastAsia="Calibri"/>
        </w:rPr>
        <w:t xml:space="preserve">Текущее управление реализацией подпрограммы 3 осуществляется администрацией Великоустюгского муниципального округа, по соответствующим мероприятиям подпрограммы 3 - отделом туризма и межрегиональных связей. </w:t>
      </w:r>
      <w:r>
        <w:rPr>
          <w:rFonts w:eastAsia="Calibri"/>
        </w:rPr>
      </w:r>
      <w:r>
        <w:rPr>
          <w:rFonts w:eastAsia="Calibri"/>
        </w:rPr>
      </w:r>
    </w:p>
    <w:p>
      <w:pPr>
        <w:pStyle w:val="621"/>
        <w:ind w:left="0" w:right="0" w:firstLine="709"/>
        <w:jc w:val="both"/>
      </w:pPr>
      <w:r>
        <w:rPr>
          <w:rFonts w:eastAsia="Calibri"/>
        </w:rPr>
        <w:t xml:space="preserve">Реализация подпрограммы 3 осуществляется н</w:t>
      </w:r>
      <w:r>
        <w:rPr>
          <w:rFonts w:eastAsia="Calibri"/>
        </w:rPr>
        <w:t xml:space="preserve">а основе муниципальных контрактов (договоров) на поставку товаров, выполнение работ и оказание услуг, заключаемых с Великоустюгским муниципальным округом  с организациями, определяемыми в соответствии с законодательством о размещении муниципальных заказов.</w:t>
      </w:r>
      <w:r/>
    </w:p>
    <w:p>
      <w:pPr>
        <w:pStyle w:val="621"/>
        <w:ind w:left="0" w:right="0" w:firstLine="709"/>
        <w:jc w:val="both"/>
      </w:pPr>
      <w:r>
        <w:t xml:space="preserve">Перечень мероприятий  представлен в приложении № 1 к  подпрограмме 3.</w:t>
      </w:r>
      <w:r/>
    </w:p>
    <w:p>
      <w:pPr>
        <w:pStyle w:val="621"/>
        <w:ind w:left="0" w:right="0" w:firstLine="709"/>
        <w:jc w:val="both"/>
      </w:pPr>
      <w:r>
        <w:t xml:space="preserve">Мероприятия подпрограммы 3 направлены на оказание методической, организационной,  информационной и финансовой помощи туристской отрасли Великоустюгского округа. </w:t>
      </w:r>
      <w:r/>
    </w:p>
    <w:p>
      <w:pPr>
        <w:pStyle w:val="621"/>
        <w:ind w:left="0" w:right="0" w:firstLine="709"/>
        <w:jc w:val="both"/>
      </w:pPr>
      <w:r>
        <w:t xml:space="preserve">В округе  проводятся следующие мероприятия этом направлении: </w:t>
      </w:r>
      <w:r/>
    </w:p>
    <w:p>
      <w:pPr>
        <w:pStyle w:val="621"/>
        <w:ind w:left="0" w:right="0" w:firstLine="709"/>
        <w:jc w:val="both"/>
      </w:pPr>
      <w:r>
        <w:t xml:space="preserve">- координационный совет по развитию туризма при Главе Великоустюгского муниципального округа, в состав которого входят представители власти и бизнеса;</w:t>
      </w:r>
      <w:r/>
    </w:p>
    <w:p>
      <w:pPr>
        <w:pStyle w:val="621"/>
        <w:ind w:left="0" w:right="0" w:firstLine="709"/>
        <w:jc w:val="both"/>
      </w:pPr>
      <w:r>
        <w:t xml:space="preserve">- разработаны  и ежегодно обновляются рекламно-информационные материалы о Великоустюгского муниципального округа;</w:t>
      </w:r>
      <w:r/>
    </w:p>
    <w:p>
      <w:pPr>
        <w:pStyle w:val="621"/>
        <w:ind w:left="0" w:right="0" w:firstLine="709"/>
        <w:jc w:val="both"/>
      </w:pPr>
      <w:r>
        <w:t xml:space="preserve">- создан реестр коллективных средств размещения в Великоустюгском муниципальном округе;</w:t>
      </w:r>
      <w:r/>
    </w:p>
    <w:p>
      <w:pPr>
        <w:pStyle w:val="621"/>
        <w:ind w:left="0" w:right="0" w:firstLine="709"/>
        <w:jc w:val="both"/>
      </w:pPr>
      <w:r>
        <w:t xml:space="preserve">- на официальном сайте округа в разделе «Туризм» обновляется информация. </w:t>
      </w:r>
      <w:r/>
    </w:p>
    <w:p>
      <w:pPr>
        <w:pStyle w:val="621"/>
        <w:ind w:left="0" w:right="0" w:firstLine="709"/>
        <w:jc w:val="both"/>
        <w:rPr>
          <w:b/>
        </w:rPr>
      </w:pPr>
      <w:r>
        <w:t xml:space="preserve">Все эти мероприятия направлены на создание и поддержку благоприятной внешней среды для туристской отрасли, оказание содействия внедрению современных технологий ведения бизнеса, в том числе с широким использованием возможностей сети Интернет.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  <w:t xml:space="preserve">4. Оценка эффективности</w:t>
      </w:r>
      <w:r>
        <w:rPr>
          <w:b/>
        </w:rPr>
      </w:r>
      <w:r>
        <w:rPr>
          <w:b/>
        </w:rPr>
      </w:r>
    </w:p>
    <w:p>
      <w:pPr>
        <w:pStyle w:val="621"/>
        <w:jc w:val="center"/>
        <w:rPr>
          <w:b/>
        </w:rPr>
      </w:pPr>
      <w:r>
        <w:rPr>
          <w:b/>
        </w:rPr>
        <w:t xml:space="preserve">реализации подпрограммы 3</w:t>
      </w:r>
      <w:r>
        <w:rPr>
          <w:b/>
        </w:rPr>
      </w:r>
      <w:r>
        <w:rPr>
          <w:b/>
        </w:rPr>
      </w:r>
    </w:p>
    <w:p>
      <w:pPr>
        <w:pStyle w:val="621"/>
        <w:numPr>
          <w:ilvl w:val="0"/>
          <w:numId w:val="0"/>
        </w:numPr>
        <w:jc w:val="both"/>
        <w:rPr>
          <w:b/>
        </w:rPr>
        <w:outlineLvl w:val="1"/>
      </w:pPr>
      <w:r>
        <w:rPr>
          <w:b/>
        </w:rPr>
      </w:r>
      <w:r>
        <w:rPr>
          <w:b/>
        </w:rPr>
      </w:r>
    </w:p>
    <w:p>
      <w:pPr>
        <w:pStyle w:val="621"/>
        <w:ind w:left="0" w:right="0" w:firstLine="709"/>
        <w:jc w:val="both"/>
      </w:pPr>
      <w:r>
        <w:t xml:space="preserve">Администрацией округа в лице отдела туризма и межрегиональных связей управления экономического развития осуществляется мониторинг реализации подпрограммы 3 на основании полугодового мониторинга реализации подпрограмм и годовых отчётов о ходе их реализации.</w:t>
      </w:r>
      <w:r/>
    </w:p>
    <w:p>
      <w:pPr>
        <w:pStyle w:val="621"/>
        <w:ind w:left="0" w:right="0" w:firstLine="709"/>
        <w:jc w:val="both"/>
        <w:widowControl w:val="off"/>
      </w:pPr>
      <w:r>
        <w:t xml:space="preserve">Полугодовой мониторинг реализации мероприятий подпрограмм</w:t>
      </w:r>
      <w:r>
        <w:t xml:space="preserve">ы 3 ориентирован на раннее предупреждение возникновения проблем и отклонений хода реализации подпрограммы 3 от запланированного, составляется ежегодно до 25 июля и представляется отделом туризма и межрегиональных связей управления экономического развития. </w:t>
      </w:r>
      <w:r/>
    </w:p>
    <w:p>
      <w:pPr>
        <w:pStyle w:val="621"/>
        <w:ind w:left="0" w:right="0" w:firstLine="709"/>
        <w:jc w:val="both"/>
      </w:pPr>
      <w:r>
        <w:t xml:space="preserve">Годовой отчёт о ходе реализации подпрограммы 3 формирует ответственный исполнитель с учётом информации в срок до 1 марта года, следующего за отчётным годом.</w:t>
      </w:r>
      <w:r/>
    </w:p>
    <w:p>
      <w:pPr>
        <w:pStyle w:val="621"/>
        <w:ind w:left="0" w:right="0" w:firstLine="709"/>
        <w:jc w:val="both"/>
      </w:pPr>
      <w:r>
        <w:t xml:space="preserve">Оценка эффективности подпрограммы 3 осуществляется н</w:t>
      </w:r>
      <w:r>
        <w:t xml:space="preserve">а основании раздела  «Оценка эффективности муниципальной программы» Порядка разработки, реализации и оценки эффективности подпрограмм Великоустюгского муниципального округа, утвержденного Постановлением администрации Великоустюгского муниципального округа.</w:t>
      </w:r>
      <w:r/>
    </w:p>
    <w:p>
      <w:pPr>
        <w:pStyle w:val="621"/>
        <w:ind w:left="0" w:right="0" w:firstLine="709"/>
        <w:jc w:val="both"/>
      </w:pPr>
      <w:r>
        <w:t xml:space="preserve">Оценка эффективности реализации подпрограмм</w:t>
      </w:r>
      <w:r>
        <w:t xml:space="preserve">ы 3  определяется уровнем достижения запланированных показателей  подпрограммы 3, а также выполнением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реализации.</w:t>
      </w:r>
      <w:r/>
    </w:p>
    <w:p>
      <w:pPr>
        <w:pStyle w:val="621"/>
        <w:ind w:left="0" w:right="0" w:firstLine="709"/>
        <w:jc w:val="both"/>
      </w:pPr>
      <w:r>
        <w:t xml:space="preserve">Анализ изменения показателей осуществляется ежегодно.</w:t>
      </w:r>
      <w:r/>
    </w:p>
    <w:p>
      <w:pPr>
        <w:pStyle w:val="621"/>
        <w:jc w:val="center"/>
        <w:shd w:val="clear" w:color="auto" w:fill="ffffff"/>
      </w:pPr>
      <w:r/>
      <w:r/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770"/>
        <w:ind w:left="0" w:right="0" w:firstLine="0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</w:r>
      <w:r>
        <w:rPr>
          <w:rFonts w:ascii="Times New Roman" w:hAnsi="Times New Roman" w:cs="Times New Roman"/>
          <w:sz w:val="22"/>
          <w:szCs w:val="26"/>
        </w:rPr>
      </w:r>
    </w:p>
    <w:p>
      <w:pPr>
        <w:pStyle w:val="621"/>
        <w:sectPr>
          <w:footnotePr>
            <w:numFmt w:val="decimal"/>
            <w:numRestart w:val="continuous"/>
          </w:footnotePr>
          <w:endnotePr>
            <w:numFmt w:val="lowerRoman"/>
          </w:endnotePr>
          <w:type w:val="nextPage"/>
          <w:pgSz w:w="11906" w:h="16838" w:orient="portrait"/>
          <w:pgMar w:top="851" w:right="425" w:bottom="851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21"/>
        <w:jc w:val="center"/>
        <w:rPr>
          <w:rFonts w:cs="Times New Roman"/>
          <w:bCs/>
          <w:sz w:val="22"/>
          <w:szCs w:val="26"/>
        </w:rPr>
      </w:pPr>
      <w:r>
        <w:rPr>
          <w:rFonts w:cs="Times New Roman"/>
          <w:bCs/>
          <w:sz w:val="22"/>
          <w:szCs w:val="26"/>
        </w:rPr>
      </w:r>
      <w:r>
        <w:rPr>
          <w:rFonts w:cs="Times New Roman"/>
          <w:bCs/>
          <w:sz w:val="22"/>
          <w:szCs w:val="26"/>
        </w:rPr>
      </w:r>
    </w:p>
    <w:p>
      <w:pPr>
        <w:pStyle w:val="621"/>
        <w:jc w:val="right"/>
        <w:rPr>
          <w:b/>
        </w:rPr>
      </w:pPr>
      <w:r>
        <w:rPr>
          <w:bCs/>
        </w:rPr>
        <w:t xml:space="preserve">Приложение № 1 к подпрограмме 3</w:t>
      </w:r>
      <w:r>
        <w:rPr>
          <w:b/>
        </w:rPr>
      </w:r>
      <w:r>
        <w:rPr>
          <w:b/>
        </w:rPr>
      </w:r>
    </w:p>
    <w:p>
      <w:pPr>
        <w:pStyle w:val="621"/>
        <w:ind w:left="0" w:right="0" w:firstLine="720"/>
        <w:jc w:val="center"/>
        <w:widowControl w:val="off"/>
        <w:rPr>
          <w:b/>
        </w:rPr>
      </w:pPr>
      <w:r>
        <w:rPr>
          <w:b/>
        </w:rPr>
        <w:t xml:space="preserve">П Е Р Е Ч Е Н Ь</w:t>
      </w:r>
      <w:r>
        <w:rPr>
          <w:b/>
        </w:rPr>
      </w:r>
      <w:r>
        <w:rPr>
          <w:b/>
        </w:rPr>
      </w:r>
    </w:p>
    <w:p>
      <w:pPr>
        <w:pStyle w:val="621"/>
        <w:ind w:left="0" w:right="0" w:firstLine="720"/>
        <w:jc w:val="center"/>
        <w:widowControl w:val="off"/>
        <w:rPr>
          <w:b/>
        </w:rPr>
      </w:pPr>
      <w:r>
        <w:rPr>
          <w:b/>
        </w:rPr>
        <w:t xml:space="preserve">основных мероприятий и финансовое обеспечение</w:t>
      </w:r>
      <w:r>
        <w:rPr>
          <w:b/>
        </w:rPr>
      </w:r>
      <w:r>
        <w:rPr>
          <w:b/>
        </w:rPr>
      </w:r>
    </w:p>
    <w:p>
      <w:pPr>
        <w:pStyle w:val="621"/>
        <w:ind w:left="0" w:right="0" w:firstLine="720"/>
        <w:jc w:val="center"/>
        <w:widowControl w:val="off"/>
        <w:rPr>
          <w:sz w:val="22"/>
        </w:rPr>
      </w:pPr>
      <w:r>
        <w:rPr>
          <w:b/>
        </w:rPr>
        <w:t xml:space="preserve">реализации подпрограммы 3</w:t>
      </w:r>
      <w:r>
        <w:t xml:space="preserve">  </w:t>
      </w:r>
      <w:r>
        <w:rPr>
          <w:sz w:val="22"/>
        </w:rPr>
      </w:r>
      <w:r>
        <w:rPr>
          <w:sz w:val="22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0"/>
        <w:gridCol w:w="1954"/>
        <w:gridCol w:w="165"/>
        <w:gridCol w:w="2126"/>
        <w:gridCol w:w="2139"/>
        <w:gridCol w:w="838"/>
        <w:gridCol w:w="1698"/>
        <w:gridCol w:w="6"/>
        <w:gridCol w:w="1128"/>
        <w:gridCol w:w="6"/>
        <w:gridCol w:w="10"/>
        <w:gridCol w:w="27"/>
        <w:gridCol w:w="1102"/>
        <w:gridCol w:w="76"/>
        <w:gridCol w:w="921"/>
        <w:gridCol w:w="132"/>
        <w:gridCol w:w="10"/>
        <w:gridCol w:w="992"/>
        <w:gridCol w:w="45"/>
        <w:gridCol w:w="9"/>
        <w:gridCol w:w="83"/>
        <w:gridCol w:w="1136"/>
        <w:gridCol w:w="12"/>
      </w:tblGrid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-142" w:leader="none"/>
              </w:tabs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Ответственный  исполнитель,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соисполнитель,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основного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мероприятия, мероприятия муниципальной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программы (подпрограммы)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Ожидаемый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непосредственный результат &lt;1&gt;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Источник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финансового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обеспечения</w:t>
            </w:r>
            <w:r/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3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Расходы (тыс. руб.)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2024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2026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всего на период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2024-2027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709" w:leader="none"/>
              </w:tabs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709" w:leader="none"/>
              </w:tabs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709" w:leader="none"/>
              </w:tabs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709" w:leader="none"/>
              </w:tabs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  <w:tabs>
                <w:tab w:val="left" w:pos="709" w:leader="none"/>
              </w:tabs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sz w:val="22"/>
              </w:rPr>
              <w:t xml:space="preserve">10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t xml:space="preserve">Итого по подпрограмме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Всего, в том числе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3104,6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b/>
              </w:rPr>
              <w:t xml:space="preserve">2800,00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2980,00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11684,6,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собственные доходы бюджета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3104,6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5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b/>
              </w:rPr>
              <w:t xml:space="preserve">2800,00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2800,00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2980,00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11684,6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3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1.Формирование комфортной туристской среды 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1.1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Управление экономического развития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Изготовление</w:t>
            </w:r>
            <w:r/>
          </w:p>
          <w:p>
            <w:pPr>
              <w:pStyle w:val="621"/>
              <w:jc w:val="center"/>
            </w:pPr>
            <w:r>
              <w:t xml:space="preserve">и установка</w:t>
            </w:r>
            <w:r/>
          </w:p>
          <w:p>
            <w:pPr>
              <w:pStyle w:val="621"/>
              <w:jc w:val="center"/>
            </w:pPr>
            <w:r>
              <w:t xml:space="preserve">информационных карт-схем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bCs/>
              </w:rPr>
            </w:pPr>
            <w:r>
              <w:rPr>
                <w:bCs/>
              </w:rPr>
              <w:t xml:space="preserve">Рекламное продвижение культурно-исторических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widowControl w:val="off"/>
              <w:rPr>
                <w:bCs/>
              </w:rPr>
            </w:pPr>
            <w:r>
              <w:rPr>
                <w:bCs/>
              </w:rPr>
              <w:t xml:space="preserve">объектов туристского показа,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информирование индивидуальных туристов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200,00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-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bCs/>
              </w:rPr>
              <w:t xml:space="preserve">200,0</w:t>
            </w:r>
            <w:r/>
          </w:p>
        </w:tc>
      </w:tr>
      <w:tr>
        <w:tblPrEx/>
        <w:trPr>
          <w:gridAfter w:val="1"/>
          <w:trHeight w:val="23"/>
        </w:trPr>
        <w:tc>
          <w:tcPr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bCs/>
              </w:rPr>
              <w:t xml:space="preserve">2.Создание новых объектов показа и новых туристских маршрутов</w:t>
            </w:r>
            <w:r/>
          </w:p>
        </w:tc>
      </w:tr>
      <w:tr>
        <w:tblPrEx/>
        <w:trPr>
          <w:gridAfter w:val="1"/>
          <w:trHeight w:val="28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2.1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9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Управление экономического развития, управление культуры, спорта и молодежной политики, МБУК «Великоустюгский культурно-досуговый центр», территориальные отделы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Организация и проведение праздничных мероприятий на территории сельских поселений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Расширение спектра туристских услуг, занятость населения, сохранение, воссоздание культурного наследия, народной самобытности и традиций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800,00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800,00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800,0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Cs/>
              </w:rPr>
              <w:t xml:space="preserve">800,00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  <w:bCs/>
              </w:rPr>
              <w:t xml:space="preserve">3200,00</w:t>
            </w:r>
            <w:r/>
          </w:p>
        </w:tc>
      </w:tr>
      <w:tr>
        <w:tblPrEx/>
        <w:trPr>
          <w:trHeight w:val="23"/>
        </w:trPr>
        <w:tc>
          <w:tcPr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3. Подготовка кадров для сферы туризма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Управление экономического развития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Организация и участие в обучающих семинарах для специалистов отдела туризма и работников туротрасли с привлечением профессиональных модераторов. Участие в выездных мероприятиях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Создание конкурентоспособного персонала, повышение профессионального уровня специалистов.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Подготовка кадров для качественного обеспечения туристского бизнеса и повышение профессионального уровня специалистов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105,2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100,0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180,00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485,2</w:t>
            </w:r>
            <w:r/>
          </w:p>
        </w:tc>
      </w:tr>
      <w:tr>
        <w:tblPrEx/>
        <w:trPr>
          <w:trHeight w:val="23"/>
        </w:trPr>
        <w:tc>
          <w:tcPr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5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4. Информационное обеспечение  туристской деятельности и движение туристского продукта округа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Управление экономического развития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Разработка и проведение тематических праздников, в т.ч. организация мероприятий в рамках проекта «Великий Устюг – родина Деда Мороза»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Расширение рамок туристского сезона за счёт событийных мероприятий. Установление творческих и культурологических связей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2000,00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Управление экономического развития, управление культуры, спорта и молодежной политики, МБУК «Великоустюгский культурно-досуговый центр»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Участие Великоустюгского муниципального округа в Русских Ганзейских Днях:</w:t>
            </w:r>
            <w:r/>
          </w:p>
          <w:p>
            <w:pPr>
              <w:pStyle w:val="621"/>
              <w:jc w:val="center"/>
            </w:pPr>
            <w:r>
              <w:t xml:space="preserve">2024 год – город Вышний Волочек,</w:t>
            </w:r>
            <w:r/>
          </w:p>
          <w:p>
            <w:pPr>
              <w:pStyle w:val="621"/>
              <w:jc w:val="center"/>
            </w:pPr>
            <w:r>
              <w:t xml:space="preserve">2025 год – город Старая Русса и других мероприятий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Продвижение туристских возможностей Великоустюгского муниципального округа и проекта «Великий Устюг – родина Деда Мороза» на межрегиональном уровне, установление связей в области туризма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420,8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400,0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b/>
              </w:rPr>
              <w:t xml:space="preserve">1720,8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4.3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Управление экономического развития,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Создание</w:t>
            </w:r>
            <w:r/>
          </w:p>
          <w:p>
            <w:pPr>
              <w:pStyle w:val="621"/>
              <w:jc w:val="center"/>
            </w:pPr>
            <w:r>
              <w:t xml:space="preserve">рекламно-информационных материалов и</w:t>
            </w:r>
            <w:r/>
          </w:p>
          <w:p>
            <w:pPr>
              <w:pStyle w:val="621"/>
              <w:jc w:val="center"/>
            </w:pPr>
            <w:r>
              <w:t xml:space="preserve">приобретение сувенирной продукции в сфере туризма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Рекламное продвижение туристского потенциала муниципального округа, в том числе, проекта «Великий Устюг – родина Деда Мороза»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b/>
              </w:rPr>
              <w:t xml:space="preserve">2000,00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4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t xml:space="preserve">Управление экономического развития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Проведение </w:t>
            </w:r>
            <w:r/>
          </w:p>
          <w:p>
            <w:pPr>
              <w:pStyle w:val="621"/>
              <w:jc w:val="center"/>
            </w:pPr>
            <w:r>
              <w:t xml:space="preserve">конкурсов в рамках мероприятий </w:t>
            </w:r>
            <w:r/>
          </w:p>
          <w:p>
            <w:pPr>
              <w:pStyle w:val="621"/>
              <w:jc w:val="center"/>
            </w:pPr>
            <w:r>
              <w:t xml:space="preserve">«Прокопиевкая </w:t>
            </w:r>
            <w:r/>
          </w:p>
          <w:p>
            <w:pPr>
              <w:pStyle w:val="621"/>
              <w:jc w:val="center"/>
            </w:pPr>
            <w:r>
              <w:t xml:space="preserve">ярмарка» и «Никольская ярмарка»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Повышение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доступности для населения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собственные доходы бюджета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578,6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500,00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2078,6</w:t>
            </w:r>
            <w:r/>
          </w:p>
        </w:tc>
      </w:tr>
    </w:tbl>
    <w:p>
      <w:pPr>
        <w:pStyle w:val="621"/>
      </w:pPr>
      <w:r/>
      <w:r/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№ 2 к подпрограмме 3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ind w:left="0" w:right="0"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center"/>
        <w:widowControl w:val="off"/>
        <w:rPr>
          <w:b/>
          <w:sz w:val="26"/>
        </w:rPr>
      </w:pPr>
      <w:r>
        <w:rPr>
          <w:b/>
          <w:sz w:val="26"/>
        </w:rPr>
        <w:t xml:space="preserve">С В Е Д Е Н И Я</w:t>
      </w:r>
      <w:r>
        <w:rPr>
          <w:b/>
          <w:sz w:val="26"/>
        </w:rPr>
      </w:r>
      <w:r>
        <w:rPr>
          <w:b/>
          <w:sz w:val="26"/>
        </w:rPr>
      </w:r>
    </w:p>
    <w:p>
      <w:pPr>
        <w:pStyle w:val="621"/>
        <w:jc w:val="center"/>
        <w:widowControl w:val="off"/>
        <w:rPr>
          <w:b/>
          <w:sz w:val="26"/>
        </w:rPr>
      </w:pPr>
      <w:r>
        <w:rPr>
          <w:b/>
          <w:sz w:val="26"/>
        </w:rPr>
        <w:t xml:space="preserve">о целевых показателях (индикаторах)</w:t>
      </w:r>
      <w:r>
        <w:rPr>
          <w:b/>
          <w:sz w:val="26"/>
        </w:rPr>
      </w:r>
      <w:r>
        <w:rPr>
          <w:b/>
          <w:sz w:val="26"/>
        </w:rPr>
      </w:r>
    </w:p>
    <w:p>
      <w:pPr>
        <w:pStyle w:val="621"/>
        <w:jc w:val="center"/>
        <w:widowControl w:val="off"/>
        <w:rPr>
          <w:b/>
          <w:sz w:val="26"/>
        </w:rPr>
      </w:pPr>
      <w:r>
        <w:rPr>
          <w:b/>
          <w:sz w:val="26"/>
        </w:rPr>
        <w:t xml:space="preserve">подпрограммы 3</w:t>
      </w:r>
      <w:r>
        <w:rPr>
          <w:b/>
          <w:sz w:val="26"/>
        </w:rPr>
      </w:r>
      <w:r>
        <w:rPr>
          <w:b/>
          <w:sz w:val="26"/>
        </w:rPr>
      </w:r>
    </w:p>
    <w:p>
      <w:pPr>
        <w:pStyle w:val="621"/>
        <w:ind w:left="0" w:right="0" w:firstLine="720"/>
        <w:jc w:val="both"/>
        <w:widowControl w:val="off"/>
        <w:rPr>
          <w:b/>
          <w:sz w:val="26"/>
        </w:rPr>
      </w:pPr>
      <w:r>
        <w:rPr>
          <w:b/>
          <w:sz w:val="26"/>
        </w:rPr>
      </w:r>
      <w:r>
        <w:rPr>
          <w:b/>
          <w:sz w:val="26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"/>
        <w:gridCol w:w="3813"/>
        <w:gridCol w:w="7"/>
        <w:gridCol w:w="8"/>
        <w:gridCol w:w="1683"/>
        <w:gridCol w:w="10"/>
        <w:gridCol w:w="8"/>
        <w:gridCol w:w="1091"/>
        <w:gridCol w:w="6"/>
        <w:gridCol w:w="1298"/>
        <w:gridCol w:w="6"/>
        <w:gridCol w:w="8"/>
        <w:gridCol w:w="1126"/>
        <w:gridCol w:w="1284"/>
        <w:gridCol w:w="1138"/>
        <w:gridCol w:w="1134"/>
        <w:gridCol w:w="1086"/>
        <w:gridCol w:w="48"/>
        <w:gridCol w:w="1134"/>
        <w:gridCol w:w="169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8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Задача, направленная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на достижение цели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Наименование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целевого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показателя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(индикатора)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97" w:type="dxa"/>
            <w:vAlign w:val="top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Единица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измерения</w:t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26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Значение целевого показателя (индикатора) по годам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9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отчётное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отчетное 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824" w:type="dxa"/>
            <w:vAlign w:val="top"/>
            <w:textDirection w:val="lrTb"/>
            <w:noWrap w:val="false"/>
          </w:tcPr>
          <w:p>
            <w:pPr>
              <w:pStyle w:val="621"/>
              <w:ind w:left="0" w:right="0" w:firstLine="720"/>
              <w:jc w:val="center"/>
              <w:widowControl w:val="off"/>
            </w:pPr>
            <w:r>
              <w:t xml:space="preserve">плановое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8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97" w:type="dxa"/>
            <w:vAlign w:val="top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оценочное 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2027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97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2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11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545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6"/>
              </w:rPr>
            </w:pPr>
            <w:r>
              <w:rPr>
                <w:sz w:val="26"/>
              </w:rPr>
              <w:t xml:space="preserve">Цель: создание благоприятных условий для динамичного развития туризма </w:t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6"/>
              </w:rPr>
              <w:t xml:space="preserve">на территории Великоустюгского муниципального округа 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5451" w:type="dxa"/>
            <w:vAlign w:val="top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«Развитие туризма в Великоустюгском муниципальном округе на 2024-2027 годы»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0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t xml:space="preserve">Развитие приоритетных туристских проектов «Великий Устюг – родина Деда Мороза» и «Серебряное ожерелье России»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Число посетителей, всего по округу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5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Тыс. человек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367,3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496,00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550,00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700,00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750,00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0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</w:pPr>
            <w:r>
              <w:t xml:space="preserve">Развитие туристско-рекреа-ционного кластера «Великий Устюг – сказочная столица России»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ind w:left="0" w:right="0" w:firstLine="720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5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20" w:type="dxa"/>
            <w:vAlign w:val="top"/>
            <w:textDirection w:val="lrTb"/>
            <w:noWrap w:val="false"/>
          </w:tcPr>
          <w:p>
            <w:pPr>
              <w:pStyle w:val="621"/>
            </w:pPr>
            <w:r>
              <w:rPr>
                <w:shd w:val="clear" w:color="auto" w:fill="ffffff"/>
              </w:rPr>
              <w:t xml:space="preserve">Создание и продвижение крупных событийных мероприятий на территории Великоустюгского муниципального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</w:r>
            <w:r>
              <w:rPr>
                <w:highlight w:val="yellow"/>
                <w:shd w:val="clear" w:color="auto" w:fill="ffffff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5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</w:r>
            <w:r>
              <w:rPr>
                <w:highlight w:val="yellow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Развитие туристской навигации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top"/>
            <w:textDirection w:val="lrTb"/>
            <w:noWrap w:val="false"/>
          </w:tcPr>
          <w:p>
            <w:pPr>
              <w:pStyle w:val="621"/>
              <w:jc w:val="both"/>
              <w:widowControl w:val="off"/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</w:r>
            <w:r>
              <w:rPr>
                <w:highlight w:val="yellow"/>
                <w:shd w:val="clear" w:color="auto" w:fill="ffffff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highlight w:val="yellow"/>
                <w:shd w:val="clear" w:color="auto" w:fill="ffffff"/>
              </w:rPr>
            </w:r>
            <w:r>
              <w:rPr>
                <w:highlight w:val="yellow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</w:pPr>
            <w:r/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Приоритетное развитие культурно-познавательного, событий-ного, детского, активного, сельского, экологического, лечебно-оздоровительного, спортивного, делового туризма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туристов,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 всего по округу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Тыс.</w:t>
            </w:r>
            <w:r/>
          </w:p>
          <w:p>
            <w:pPr>
              <w:pStyle w:val="621"/>
              <w:jc w:val="center"/>
            </w:pPr>
            <w:r>
              <w:t xml:space="preserve">человек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41,6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59,00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65,00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70,00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75,00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80,00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90,00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Совершенствование системы подготовки и обучения квалифицированных кадров в сфере туризма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Развитие потенциала сельского туризма, рост туристского потока в сельских поселениях на территории Великоустюгского муниципального округа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Создание новых объектов показа и новых туристских маршрутов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туристских маршрутов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Ед.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58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6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3813" w:type="dxa"/>
            <w:vAlign w:val="top"/>
            <w:textDirection w:val="lrTb"/>
            <w:noWrap w:val="false"/>
          </w:tcPr>
          <w:p>
            <w:pPr>
              <w:pStyle w:val="621"/>
              <w:jc w:val="both"/>
            </w:pPr>
            <w:r>
              <w:rPr>
                <w:shd w:val="clear" w:color="auto" w:fill="ffffff"/>
              </w:rPr>
              <w:t xml:space="preserve">Формирование положительного туристского имиджа на международных, межрегиональных и региональных туристских мероприятиях, средствах массовой информации и сети Интернета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69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публикаций в СМИ и сети интернет в сфере туризма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09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Шт.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0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55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28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086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182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Не менее 50</w:t>
            </w:r>
            <w:r/>
          </w:p>
        </w:tc>
        <w:tc>
          <w:tcPr>
            <w:tcW w:w="169" w:type="dxa"/>
            <w:vAlign w:val="top"/>
            <w:textDirection w:val="lrTb"/>
            <w:noWrap w:val="false"/>
          </w:tcPr>
          <w:p>
            <w:pPr>
              <w:pStyle w:val="6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621"/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ind w:left="0" w:right="0" w:firstLine="709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1"/>
        <w:jc w:val="right"/>
        <w:rPr>
          <w:bCs/>
          <w:sz w:val="26"/>
          <w:szCs w:val="20"/>
        </w:rPr>
      </w:pPr>
      <w:r>
        <w:rPr>
          <w:bCs/>
          <w:sz w:val="26"/>
          <w:szCs w:val="26"/>
        </w:rPr>
        <w:t xml:space="preserve">Приложение № 3 к подпрограмме 3</w:t>
      </w:r>
      <w:r>
        <w:rPr>
          <w:bCs/>
          <w:sz w:val="26"/>
          <w:szCs w:val="20"/>
        </w:rPr>
      </w:r>
      <w:r>
        <w:rPr>
          <w:bCs/>
          <w:sz w:val="26"/>
          <w:szCs w:val="20"/>
        </w:rPr>
      </w:r>
    </w:p>
    <w:p>
      <w:pPr>
        <w:pStyle w:val="621"/>
        <w:ind w:left="0" w:right="0" w:firstLine="9781"/>
        <w:jc w:val="center"/>
        <w:widowControl w:val="off"/>
        <w:rPr>
          <w:bCs/>
          <w:sz w:val="26"/>
          <w:szCs w:val="20"/>
        </w:rPr>
      </w:pPr>
      <w:r>
        <w:rPr>
          <w:bCs/>
          <w:sz w:val="26"/>
          <w:szCs w:val="20"/>
        </w:rPr>
      </w:r>
      <w:r>
        <w:rPr>
          <w:bCs/>
          <w:sz w:val="26"/>
          <w:szCs w:val="20"/>
        </w:rPr>
      </w:r>
    </w:p>
    <w:p>
      <w:pPr>
        <w:pStyle w:val="621"/>
        <w:ind w:left="0" w:right="0" w:firstLine="9781"/>
        <w:jc w:val="center"/>
        <w:widowControl w:val="off"/>
        <w:rPr>
          <w:bCs/>
          <w:sz w:val="26"/>
          <w:szCs w:val="20"/>
        </w:rPr>
      </w:pPr>
      <w:r>
        <w:rPr>
          <w:bCs/>
          <w:sz w:val="26"/>
          <w:szCs w:val="20"/>
        </w:rPr>
      </w:r>
      <w:r>
        <w:rPr>
          <w:bCs/>
          <w:sz w:val="26"/>
          <w:szCs w:val="20"/>
        </w:rPr>
      </w:r>
    </w:p>
    <w:p>
      <w:pPr>
        <w:pStyle w:val="621"/>
        <w:ind w:left="0" w:right="0" w:firstLine="720"/>
        <w:jc w:val="center"/>
        <w:widowControl w:val="off"/>
        <w:rPr>
          <w:b/>
        </w:rPr>
      </w:pPr>
      <w:r>
        <w:rPr>
          <w:b/>
        </w:rPr>
        <w:t xml:space="preserve">С В Е Д Е Н И Я</w:t>
      </w:r>
      <w:r>
        <w:rPr>
          <w:b/>
        </w:rPr>
      </w:r>
      <w:r>
        <w:rPr>
          <w:b/>
        </w:rPr>
      </w:r>
    </w:p>
    <w:p>
      <w:pPr>
        <w:pStyle w:val="621"/>
        <w:ind w:left="0" w:right="0" w:firstLine="720"/>
        <w:jc w:val="center"/>
        <w:widowControl w:val="off"/>
        <w:rPr>
          <w:b/>
        </w:rPr>
      </w:pPr>
      <w:r>
        <w:rPr>
          <w:b/>
        </w:rPr>
        <w:t xml:space="preserve">о порядке сбора информации и методике расчёта</w:t>
      </w:r>
      <w:r>
        <w:rPr>
          <w:b/>
        </w:rPr>
      </w:r>
      <w:r>
        <w:rPr>
          <w:b/>
        </w:rPr>
      </w:r>
    </w:p>
    <w:p>
      <w:pPr>
        <w:pStyle w:val="621"/>
        <w:ind w:left="0" w:right="0" w:firstLine="720"/>
        <w:jc w:val="center"/>
        <w:widowControl w:val="off"/>
        <w:rPr>
          <w:b/>
          <w:szCs w:val="26"/>
        </w:rPr>
      </w:pPr>
      <w:r>
        <w:rPr>
          <w:b/>
        </w:rPr>
        <w:t xml:space="preserve">целевых показателей (индикаторов) подпрограммы 3</w:t>
      </w:r>
      <w:r>
        <w:rPr>
          <w:b/>
          <w:szCs w:val="26"/>
        </w:rPr>
      </w:r>
      <w:r>
        <w:rPr>
          <w:b/>
          <w:szCs w:val="26"/>
        </w:rPr>
      </w:r>
    </w:p>
    <w:p>
      <w:pPr>
        <w:pStyle w:val="621"/>
        <w:jc w:val="center"/>
        <w:rPr>
          <w:b/>
          <w:szCs w:val="26"/>
        </w:rPr>
      </w:pPr>
      <w:r>
        <w:rPr>
          <w:b/>
          <w:szCs w:val="26"/>
        </w:rPr>
        <w:t xml:space="preserve">Ресурсное обеспечение </w:t>
      </w:r>
      <w:r>
        <w:rPr>
          <w:b/>
          <w:szCs w:val="26"/>
        </w:rPr>
      </w:r>
      <w:r>
        <w:rPr>
          <w:b/>
          <w:szCs w:val="26"/>
        </w:rPr>
      </w:r>
    </w:p>
    <w:p>
      <w:pPr>
        <w:pStyle w:val="621"/>
        <w:ind w:left="0" w:right="0" w:firstLine="720"/>
        <w:jc w:val="center"/>
        <w:widowControl w:val="off"/>
        <w:rPr>
          <w:b/>
          <w:sz w:val="26"/>
          <w:szCs w:val="26"/>
        </w:rPr>
      </w:pPr>
      <w:r>
        <w:rPr>
          <w:b/>
          <w:szCs w:val="26"/>
        </w:rPr>
        <w:t xml:space="preserve">«Развитие туризма в  Великоустюгском муниципальном округе на 2024-2027 годы»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1"/>
        <w:ind w:left="0" w:right="0" w:firstLine="720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W w:w="0" w:type="auto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418"/>
        <w:gridCol w:w="1701"/>
        <w:gridCol w:w="1842"/>
        <w:gridCol w:w="1701"/>
        <w:gridCol w:w="1417"/>
        <w:gridCol w:w="2693"/>
        <w:gridCol w:w="1418"/>
      </w:tblGrid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№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Наименование целевого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показателя (индикатора)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Единица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Определение целевого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показателя 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Временные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характеристики целевого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показателя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(индикатора)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Алгоритм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формирования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(формула)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и методологические пояснения к целевому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показателю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(индикатору)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Показатели, используемые в формуле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Метод сбора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информации, индекс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формы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отчётности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Ответственный за сбор данных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по целевому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показателю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(индикатору) 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rPr>
                <w:sz w:val="22"/>
              </w:rPr>
              <w:t xml:space="preserve">9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Число посетителей, всего по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Тыс. 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Число посетителей, всего по Великоустюгскому муниципальному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Годовая,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по состоянию на 31 декабря отчетного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Экскурсанты  по объектам показа + туристы, проживающие в коллективных и индивидуальных средствах размещения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(Данные предоставленные объектами показа  и коллективными и индивидуальными средствами размещения)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Отдел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туризма и межрегиональных связей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Количество туристов, всего по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Тыс.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человек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туристов, всего по Великоустюгскому муниципальному округу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Годовая, 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по состоянию на 31 декабря отчетного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Туристы, проживающие в коллективных и индивидуальных средствах размещения</w:t>
            </w:r>
            <w:r/>
          </w:p>
          <w:p>
            <w:pPr>
              <w:pStyle w:val="621"/>
              <w:jc w:val="center"/>
              <w:widowControl w:val="off"/>
            </w:pPr>
            <w:r>
              <w:t xml:space="preserve">(Данные предоставленные коллективными и индивидуальными  средствами размещения)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Отдел туризма и межрегиональных связей</w:t>
            </w:r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Количество туристских маршрутов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туристских маршрутов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Годовая, на основании запроса в туристические фирмы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Ответ на запрос от туристических фирм, на сайтах туристских фирм (сбор информации)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</w:tr>
      <w:tr>
        <w:tblPrEx/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21"/>
              <w:widowControl w:val="off"/>
            </w:pPr>
            <w:r>
              <w:t xml:space="preserve">Количество публикаций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Количество статей, публикаций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Годовая, на основании публикаций в СМИ и сети Интернет за отчетный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>
              <w:t xml:space="preserve">Статьи, публикации в СМИ и сети Интернет в сфере туризма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21"/>
              <w:jc w:val="center"/>
              <w:widowControl w:val="off"/>
            </w:pPr>
            <w:r/>
            <w:r/>
          </w:p>
        </w:tc>
      </w:tr>
    </w:tbl>
    <w:p>
      <w:pPr>
        <w:pStyle w:val="621"/>
        <w:jc w:val="center"/>
        <w:shd w:val="clear" w:color="auto" w:fill="ffffff"/>
      </w:pPr>
      <w:r/>
      <w:r/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1276" w:right="851" w:bottom="851" w:left="85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Andale Sans UI">
    <w:panose1 w:val="02000603000000000000"/>
  </w:font>
  <w:font w:name="Garamond">
    <w:panose1 w:val="02020502040504020204"/>
  </w:font>
  <w:font w:name="Candara">
    <w:panose1 w:val="020F0502020204030204"/>
  </w:font>
  <w:font w:name="Calibri">
    <w:panose1 w:val="020F0502020204030204"/>
  </w:font>
  <w:font w:name="Batang">
    <w:panose1 w:val="02000506000000020000"/>
  </w:font>
  <w:font w:name="Courier New">
    <w:panose1 w:val="02070409020205020404"/>
  </w:font>
  <w:font w:name="Tahoma">
    <w:panose1 w:val="020B0604030504040204"/>
  </w:font>
  <w:font w:name="Noto Sans Devanagari">
    <w:panose1 w:val="020B050204050402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2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2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2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2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2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3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03"/>
      <w:isLgl w:val="false"/>
      <w:suff w:val="tab"/>
      <w:lvlText w:val="%1)"/>
      <w:lvlJc w:val="left"/>
      <w:pPr>
        <w:ind w:left="1" w:firstLine="709"/>
        <w:tabs>
          <w:tab w:val="num" w:pos="908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table" w:styleId="6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1" w:default="1">
    <w:name w:val="Normal"/>
    <w:next w:val="621"/>
    <w:link w:val="621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22">
    <w:name w:val="Заголовок 1"/>
    <w:basedOn w:val="621"/>
    <w:next w:val="621"/>
    <w:link w:val="621"/>
    <w:pPr>
      <w:numPr>
        <w:ilvl w:val="0"/>
        <w:numId w:val="1"/>
      </w:numPr>
      <w:jc w:val="center"/>
      <w:keepNext/>
      <w:outlineLvl w:val="0"/>
    </w:pPr>
    <w:rPr>
      <w:sz w:val="36"/>
    </w:rPr>
  </w:style>
  <w:style w:type="paragraph" w:styleId="623">
    <w:name w:val="Заголовок 2"/>
    <w:basedOn w:val="621"/>
    <w:next w:val="621"/>
    <w:link w:val="621"/>
    <w:pPr>
      <w:numPr>
        <w:ilvl w:val="1"/>
        <w:numId w:val="1"/>
      </w:numPr>
      <w:jc w:val="center"/>
      <w:keepNext/>
      <w:outlineLvl w:val="1"/>
    </w:pPr>
    <w:rPr>
      <w:b/>
      <w:bCs/>
      <w:sz w:val="26"/>
    </w:rPr>
  </w:style>
  <w:style w:type="paragraph" w:styleId="624">
    <w:name w:val="Заголовок 3"/>
    <w:basedOn w:val="621"/>
    <w:next w:val="621"/>
    <w:link w:val="621"/>
    <w:pPr>
      <w:numPr>
        <w:ilvl w:val="2"/>
        <w:numId w:val="1"/>
      </w:numPr>
      <w:jc w:val="both"/>
      <w:keepNext/>
      <w:outlineLvl w:val="2"/>
    </w:pPr>
    <w:rPr>
      <w:b/>
      <w:bCs/>
      <w:sz w:val="26"/>
    </w:rPr>
  </w:style>
  <w:style w:type="paragraph" w:styleId="625">
    <w:name w:val="Заголовок 4"/>
    <w:basedOn w:val="621"/>
    <w:next w:val="621"/>
    <w:link w:val="621"/>
    <w:pPr>
      <w:numPr>
        <w:ilvl w:val="3"/>
        <w:numId w:val="1"/>
      </w:numPr>
      <w:jc w:val="both"/>
      <w:keepNext/>
      <w:outlineLvl w:val="3"/>
    </w:pPr>
    <w:rPr>
      <w:b/>
      <w:bCs/>
    </w:rPr>
  </w:style>
  <w:style w:type="paragraph" w:styleId="626">
    <w:name w:val="Заголовок 5"/>
    <w:basedOn w:val="621"/>
    <w:next w:val="621"/>
    <w:link w:val="621"/>
    <w:pPr>
      <w:numPr>
        <w:ilvl w:val="4"/>
        <w:numId w:val="1"/>
      </w:numPr>
      <w:keepNext/>
      <w:outlineLvl w:val="4"/>
    </w:pPr>
    <w:rPr>
      <w:b/>
      <w:bCs/>
      <w:sz w:val="26"/>
    </w:rPr>
  </w:style>
  <w:style w:type="paragraph" w:styleId="627">
    <w:name w:val="Заголовок 6"/>
    <w:basedOn w:val="621"/>
    <w:next w:val="621"/>
    <w:link w:val="621"/>
    <w:pPr>
      <w:numPr>
        <w:ilvl w:val="5"/>
        <w:numId w:val="1"/>
      </w:numPr>
      <w:jc w:val="center"/>
      <w:keepNext/>
      <w:outlineLvl w:val="5"/>
    </w:pPr>
    <w:rPr>
      <w:szCs w:val="20"/>
    </w:rPr>
  </w:style>
  <w:style w:type="paragraph" w:styleId="628">
    <w:name w:val="Заголовок 7"/>
    <w:basedOn w:val="621"/>
    <w:next w:val="621"/>
    <w:link w:val="621"/>
    <w:pPr>
      <w:numPr>
        <w:ilvl w:val="6"/>
        <w:numId w:val="1"/>
      </w:numPr>
      <w:keepLines/>
      <w:keepNext/>
      <w:spacing w:before="200" w:after="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629">
    <w:name w:val="Заголовок 8"/>
    <w:basedOn w:val="621"/>
    <w:next w:val="621"/>
    <w:link w:val="621"/>
    <w:pPr>
      <w:numPr>
        <w:ilvl w:val="7"/>
        <w:numId w:val="1"/>
      </w:numPr>
      <w:jc w:val="center"/>
      <w:keepNext/>
      <w:outlineLvl w:val="7"/>
    </w:pPr>
    <w:rPr>
      <w:b/>
      <w:bCs/>
      <w:sz w:val="32"/>
    </w:rPr>
  </w:style>
  <w:style w:type="paragraph" w:styleId="630">
    <w:name w:val="Заголовок 9"/>
    <w:basedOn w:val="621"/>
    <w:next w:val="621"/>
    <w:link w:val="621"/>
    <w:pPr>
      <w:numPr>
        <w:ilvl w:val="8"/>
        <w:numId w:val="1"/>
      </w:numPr>
      <w:keepLines/>
      <w:keepNext/>
      <w:spacing w:before="200" w:after="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631">
    <w:name w:val="WW8Num2z0"/>
    <w:next w:val="631"/>
    <w:link w:val="621"/>
    <w:rPr>
      <w:rFonts w:cs="Times New Roman"/>
    </w:rPr>
  </w:style>
  <w:style w:type="character" w:styleId="632">
    <w:name w:val="Основной шрифт абзаца"/>
    <w:next w:val="632"/>
    <w:link w:val="621"/>
  </w:style>
  <w:style w:type="character" w:styleId="633">
    <w:name w:val="WW8Num3z0"/>
    <w:next w:val="633"/>
    <w:link w:val="621"/>
    <w:rPr>
      <w:sz w:val="27"/>
      <w:szCs w:val="27"/>
    </w:rPr>
  </w:style>
  <w:style w:type="character" w:styleId="634">
    <w:name w:val="WW8Num6z0"/>
    <w:next w:val="634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35">
    <w:name w:val="WW8Num8z0"/>
    <w:next w:val="635"/>
    <w:rPr>
      <w:rFonts w:cs="Times New Roman"/>
    </w:rPr>
  </w:style>
  <w:style w:type="character" w:styleId="636">
    <w:name w:val="WW8Num9z1"/>
    <w:next w:val="636"/>
    <w:link w:val="621"/>
    <w:rPr>
      <w:color w:val="000000"/>
      <w:sz w:val="28"/>
    </w:rPr>
  </w:style>
  <w:style w:type="character" w:styleId="637">
    <w:name w:val="WW8Num11z0"/>
    <w:next w:val="637"/>
    <w:link w:val="621"/>
  </w:style>
  <w:style w:type="character" w:styleId="638">
    <w:name w:val="WW8Num11z1"/>
    <w:next w:val="638"/>
    <w:link w:val="621"/>
    <w:rPr>
      <w:rFonts w:ascii="Times New Roman" w:hAnsi="Times New Roman" w:eastAsia="Times New Roman" w:cs="Times New Roman"/>
      <w:b w:val="0"/>
    </w:rPr>
  </w:style>
  <w:style w:type="character" w:styleId="639">
    <w:name w:val="WW8Num11z2"/>
    <w:next w:val="639"/>
    <w:link w:val="621"/>
    <w:rPr>
      <w:b w:val="0"/>
    </w:rPr>
  </w:style>
  <w:style w:type="character" w:styleId="640">
    <w:name w:val="WW8Num12z0"/>
    <w:next w:val="640"/>
    <w:link w:val="621"/>
  </w:style>
  <w:style w:type="character" w:styleId="641">
    <w:name w:val="WW8Num13z0"/>
    <w:next w:val="641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42">
    <w:name w:val="WW8Num14z0"/>
    <w:next w:val="642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styleId="643">
    <w:name w:val="WW8Num17z0"/>
    <w:next w:val="643"/>
    <w:rPr>
      <w:b/>
    </w:rPr>
  </w:style>
  <w:style w:type="character" w:styleId="644">
    <w:name w:val="WW8Num18z0"/>
    <w:next w:val="644"/>
    <w:link w:val="621"/>
    <w:rPr>
      <w:rFonts w:ascii="Times New Roman" w:hAnsi="Times New Roman" w:cs="Times New Roman"/>
    </w:rPr>
  </w:style>
  <w:style w:type="character" w:styleId="645">
    <w:name w:val="WW8Num19z0"/>
    <w:next w:val="645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646">
    <w:name w:val="WW8Num19z1"/>
    <w:next w:val="646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47">
    <w:name w:val="WW8Num20z0"/>
    <w:next w:val="647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648">
    <w:name w:val="WW8Num20z1"/>
    <w:next w:val="648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49">
    <w:name w:val="WW8Num21z0"/>
    <w:next w:val="649"/>
    <w:rPr>
      <w:rFonts w:ascii="Times New Roman" w:hAnsi="Times New Roman" w:cs="Times New Roman"/>
    </w:rPr>
  </w:style>
  <w:style w:type="character" w:styleId="650">
    <w:name w:val="WW8Num22z0"/>
    <w:next w:val="650"/>
    <w:link w:val="621"/>
    <w:rPr>
      <w:rFonts w:cs="Times New Roman"/>
    </w:rPr>
  </w:style>
  <w:style w:type="character" w:styleId="651">
    <w:name w:val="WW8Num23z0"/>
    <w:next w:val="651"/>
    <w:link w:val="621"/>
    <w:rPr>
      <w:rFonts w:ascii="Times New Roman" w:hAnsi="Times New Roman" w:cs="Times New Roman"/>
    </w:rPr>
  </w:style>
  <w:style w:type="character" w:styleId="652">
    <w:name w:val="WW8Num24z0"/>
    <w:next w:val="652"/>
    <w:link w:val="621"/>
    <w:rPr>
      <w:rFonts w:ascii="Times New Roman" w:hAnsi="Times New Roman" w:cs="Times New Roman"/>
    </w:rPr>
  </w:style>
  <w:style w:type="character" w:styleId="653">
    <w:name w:val="WW8Num25z0"/>
    <w:next w:val="653"/>
    <w:link w:val="621"/>
  </w:style>
  <w:style w:type="character" w:styleId="654">
    <w:name w:val="WW8Num28z0"/>
    <w:next w:val="654"/>
    <w:link w:val="621"/>
    <w:rPr>
      <w:rFonts w:ascii="Times New Roman" w:hAnsi="Times New Roman" w:cs="Times New Roman"/>
    </w:rPr>
  </w:style>
  <w:style w:type="character" w:styleId="655">
    <w:name w:val="WW8Num30z0"/>
    <w:next w:val="655"/>
    <w:link w:val="621"/>
    <w:rPr>
      <w:rFonts w:ascii="Times New Roman" w:hAnsi="Times New Roman" w:cs="Times New Roman"/>
    </w:rPr>
  </w:style>
  <w:style w:type="character" w:styleId="656">
    <w:name w:val="WW8Num31z0"/>
    <w:next w:val="656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57">
    <w:name w:val="WW8Num33z0"/>
    <w:next w:val="657"/>
    <w:rPr>
      <w:b/>
    </w:rPr>
  </w:style>
  <w:style w:type="character" w:styleId="658">
    <w:name w:val="WW8Num34z0"/>
    <w:next w:val="658"/>
    <w:link w:val="621"/>
    <w:rPr>
      <w:rFonts w:ascii="Times New Roman" w:hAnsi="Times New Roman" w:cs="Times New Roman"/>
    </w:rPr>
  </w:style>
  <w:style w:type="character" w:styleId="659">
    <w:name w:val="WW8Num35z0"/>
    <w:next w:val="659"/>
    <w:link w:val="621"/>
    <w:rPr>
      <w:b/>
      <w:sz w:val="24"/>
    </w:rPr>
  </w:style>
  <w:style w:type="character" w:styleId="660">
    <w:name w:val="WW8Num36z0"/>
    <w:next w:val="660"/>
    <w:link w:val="621"/>
  </w:style>
  <w:style w:type="character" w:styleId="661">
    <w:name w:val="WW8Num37z0"/>
    <w:next w:val="661"/>
    <w:link w:val="621"/>
    <w:rPr>
      <w:rFonts w:ascii="Times New Roman" w:hAnsi="Times New Roman" w:cs="Times New Roman"/>
    </w:rPr>
  </w:style>
  <w:style w:type="character" w:styleId="662">
    <w:name w:val="WW8Num38z0"/>
    <w:next w:val="662"/>
    <w:link w:val="621"/>
    <w:rPr>
      <w:rFonts w:ascii="Times New Roman" w:hAnsi="Times New Roman" w:cs="Times New Roman"/>
    </w:rPr>
  </w:style>
  <w:style w:type="character" w:styleId="663">
    <w:name w:val="WW8NumSt10z0"/>
    <w:next w:val="663"/>
    <w:link w:val="621"/>
    <w:rPr>
      <w:rFonts w:ascii="Times New Roman" w:hAnsi="Times New Roman" w:cs="Times New Roman"/>
    </w:rPr>
  </w:style>
  <w:style w:type="character" w:styleId="664">
    <w:name w:val="Основной шрифт абзаца2"/>
    <w:next w:val="664"/>
    <w:link w:val="621"/>
  </w:style>
  <w:style w:type="character" w:styleId="665">
    <w:name w:val="Заголовок 1 Знак"/>
    <w:next w:val="665"/>
    <w:link w:val="621"/>
    <w:rPr>
      <w:sz w:val="36"/>
      <w:szCs w:val="24"/>
    </w:rPr>
  </w:style>
  <w:style w:type="character" w:styleId="666">
    <w:name w:val="Заголовок 2 Знак"/>
    <w:next w:val="666"/>
    <w:link w:val="621"/>
    <w:rPr>
      <w:b/>
      <w:bCs/>
      <w:sz w:val="26"/>
      <w:szCs w:val="24"/>
    </w:rPr>
  </w:style>
  <w:style w:type="character" w:styleId="667">
    <w:name w:val="Заголовок 3 Знак"/>
    <w:next w:val="667"/>
    <w:link w:val="621"/>
    <w:rPr>
      <w:b/>
      <w:bCs/>
      <w:sz w:val="26"/>
      <w:szCs w:val="24"/>
    </w:rPr>
  </w:style>
  <w:style w:type="character" w:styleId="668">
    <w:name w:val="Заголовок 4 Знак"/>
    <w:next w:val="668"/>
    <w:link w:val="621"/>
    <w:rPr>
      <w:b/>
      <w:bCs/>
      <w:sz w:val="24"/>
      <w:szCs w:val="24"/>
    </w:rPr>
  </w:style>
  <w:style w:type="character" w:styleId="669">
    <w:name w:val="Заголовок 5 Знак"/>
    <w:next w:val="669"/>
    <w:link w:val="621"/>
    <w:rPr>
      <w:b/>
      <w:bCs/>
      <w:sz w:val="26"/>
      <w:szCs w:val="24"/>
    </w:rPr>
  </w:style>
  <w:style w:type="character" w:styleId="670">
    <w:name w:val="Заголовок 6 Знак"/>
    <w:next w:val="670"/>
    <w:link w:val="621"/>
    <w:rPr>
      <w:sz w:val="24"/>
    </w:rPr>
  </w:style>
  <w:style w:type="character" w:styleId="671">
    <w:name w:val="Заголовок 7 Знак"/>
    <w:next w:val="671"/>
    <w:link w:val="621"/>
    <w:rPr>
      <w:rFonts w:ascii="Cambria" w:hAnsi="Cambria" w:cs="Cambria"/>
      <w:i/>
      <w:iCs/>
      <w:color w:val="404040"/>
      <w:sz w:val="22"/>
      <w:szCs w:val="22"/>
    </w:rPr>
  </w:style>
  <w:style w:type="character" w:styleId="672">
    <w:name w:val="Заголовок 8 Знак"/>
    <w:next w:val="672"/>
    <w:link w:val="621"/>
    <w:rPr>
      <w:b/>
      <w:bCs/>
      <w:sz w:val="32"/>
      <w:szCs w:val="24"/>
    </w:rPr>
  </w:style>
  <w:style w:type="character" w:styleId="673">
    <w:name w:val="Заголовок 9 Знак"/>
    <w:next w:val="673"/>
    <w:link w:val="621"/>
    <w:rPr>
      <w:rFonts w:ascii="Cambria" w:hAnsi="Cambria" w:cs="Cambria"/>
      <w:i/>
      <w:iCs/>
      <w:color w:val="404040"/>
    </w:rPr>
  </w:style>
  <w:style w:type="character" w:styleId="674">
    <w:name w:val="Основной текст Знак1"/>
    <w:next w:val="674"/>
    <w:link w:val="621"/>
    <w:rPr>
      <w:sz w:val="26"/>
      <w:szCs w:val="24"/>
    </w:rPr>
  </w:style>
  <w:style w:type="character" w:styleId="675">
    <w:name w:val="Основной текст 2 Знак"/>
    <w:next w:val="675"/>
    <w:link w:val="621"/>
    <w:rPr>
      <w:b/>
      <w:bCs/>
      <w:sz w:val="24"/>
      <w:szCs w:val="24"/>
    </w:rPr>
  </w:style>
  <w:style w:type="character" w:styleId="676">
    <w:name w:val="Основной текст 3 Знак"/>
    <w:next w:val="676"/>
    <w:link w:val="621"/>
    <w:rPr>
      <w:sz w:val="30"/>
      <w:szCs w:val="24"/>
    </w:rPr>
  </w:style>
  <w:style w:type="character" w:styleId="677">
    <w:name w:val="Текст выноски Знак"/>
    <w:next w:val="677"/>
    <w:link w:val="621"/>
    <w:rPr>
      <w:rFonts w:ascii="Tahoma" w:hAnsi="Tahoma" w:cs="Tahoma"/>
      <w:sz w:val="16"/>
      <w:szCs w:val="16"/>
    </w:rPr>
  </w:style>
  <w:style w:type="character" w:styleId="678">
    <w:name w:val="ConsPlusNormal Знак"/>
    <w:next w:val="678"/>
    <w:link w:val="621"/>
    <w:rPr>
      <w:rFonts w:ascii="Arial" w:hAnsi="Arial" w:cs="Arial"/>
    </w:rPr>
  </w:style>
  <w:style w:type="character" w:styleId="679">
    <w:name w:val="Заголовок №1_"/>
    <w:next w:val="679"/>
    <w:link w:val="621"/>
    <w:rPr>
      <w:b/>
      <w:bCs/>
      <w:sz w:val="26"/>
      <w:szCs w:val="26"/>
      <w:shd w:val="clear" w:color="auto" w:fill="ffffff"/>
    </w:rPr>
  </w:style>
  <w:style w:type="character" w:styleId="680">
    <w:name w:val="Заголовок №1"/>
    <w:next w:val="680"/>
    <w:link w:val="621"/>
  </w:style>
  <w:style w:type="character" w:styleId="681">
    <w:name w:val="Основной текст + Полужирный"/>
    <w:next w:val="681"/>
    <w:link w:val="6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682">
    <w:name w:val="Основной текст (2)_"/>
    <w:next w:val="682"/>
    <w:link w:val="621"/>
    <w:rPr>
      <w:b/>
      <w:bCs/>
      <w:sz w:val="28"/>
      <w:szCs w:val="28"/>
      <w:shd w:val="clear" w:color="auto" w:fill="ffffff"/>
    </w:rPr>
  </w:style>
  <w:style w:type="character" w:styleId="683">
    <w:name w:val="Основной текст_"/>
    <w:next w:val="683"/>
    <w:link w:val="621"/>
    <w:rPr>
      <w:sz w:val="29"/>
      <w:szCs w:val="29"/>
      <w:shd w:val="clear" w:color="auto" w:fill="ffffff"/>
    </w:rPr>
  </w:style>
  <w:style w:type="character" w:styleId="684">
    <w:name w:val="Основной текст + 14 pt;Полужирный"/>
    <w:next w:val="684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styleId="685">
    <w:name w:val="Основной текст1"/>
    <w:next w:val="685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position w:val="0"/>
      <w:sz w:val="29"/>
      <w:szCs w:val="29"/>
      <w:u w:val="none"/>
      <w:vertAlign w:val="baseline"/>
      <w:lang w:val="en-US"/>
    </w:rPr>
  </w:style>
  <w:style w:type="character" w:styleId="686">
    <w:name w:val="Основной текст + 15 pt;Полужирный;Курсив;Интервал -1 pt"/>
    <w:next w:val="686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20"/>
      <w:position w:val="0"/>
      <w:sz w:val="30"/>
      <w:szCs w:val="30"/>
      <w:u w:val="none"/>
      <w:vertAlign w:val="baseline"/>
      <w:lang w:val="ru-RU"/>
    </w:rPr>
  </w:style>
  <w:style w:type="character" w:styleId="687">
    <w:name w:val="Основной текст Exact"/>
    <w:next w:val="687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"/>
      <w:sz w:val="26"/>
      <w:szCs w:val="26"/>
      <w:u w:val="none"/>
    </w:rPr>
  </w:style>
  <w:style w:type="character" w:styleId="688">
    <w:name w:val="Основной текст + Курсив;Интервал 0 pt Exact"/>
    <w:next w:val="688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4"/>
      <w:sz w:val="26"/>
      <w:szCs w:val="26"/>
      <w:u w:val="none"/>
    </w:rPr>
  </w:style>
  <w:style w:type="character" w:styleId="689">
    <w:name w:val="Основной текст (3)_"/>
    <w:next w:val="689"/>
    <w:link w:val="621"/>
    <w:rPr>
      <w:b/>
      <w:bCs/>
      <w:sz w:val="21"/>
      <w:szCs w:val="21"/>
      <w:shd w:val="clear" w:color="auto" w:fill="ffffff"/>
    </w:rPr>
  </w:style>
  <w:style w:type="character" w:styleId="690">
    <w:name w:val="Основной текст (3) + Интервал 1 pt"/>
    <w:next w:val="690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position w:val="0"/>
      <w:sz w:val="21"/>
      <w:szCs w:val="21"/>
      <w:u w:val="none"/>
      <w:vertAlign w:val="baseline"/>
      <w:lang w:val="ru-RU"/>
    </w:rPr>
  </w:style>
  <w:style w:type="character" w:styleId="691">
    <w:name w:val="Основной текст (4)_"/>
    <w:next w:val="691"/>
    <w:link w:val="621"/>
    <w:rPr>
      <w:b/>
      <w:bCs/>
      <w:sz w:val="23"/>
      <w:szCs w:val="23"/>
      <w:shd w:val="clear" w:color="auto" w:fill="ffffff"/>
    </w:rPr>
  </w:style>
  <w:style w:type="character" w:styleId="692">
    <w:name w:val="Основной текст (2) + Интервал 3 pt"/>
    <w:next w:val="692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60"/>
      <w:position w:val="0"/>
      <w:sz w:val="28"/>
      <w:szCs w:val="28"/>
      <w:u w:val="none"/>
      <w:vertAlign w:val="baseline"/>
      <w:lang w:val="ru-RU"/>
    </w:rPr>
  </w:style>
  <w:style w:type="character" w:styleId="693">
    <w:name w:val="Основной текст + Курсив"/>
    <w:next w:val="693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styleId="694">
    <w:name w:val="Основной текст (5)_"/>
    <w:next w:val="694"/>
    <w:link w:val="621"/>
    <w:rPr>
      <w:i/>
      <w:iCs/>
      <w:sz w:val="28"/>
      <w:szCs w:val="28"/>
      <w:shd w:val="clear" w:color="auto" w:fill="ffffff"/>
    </w:rPr>
  </w:style>
  <w:style w:type="character" w:styleId="695">
    <w:name w:val="Основной текст + 13 pt;Полужирный"/>
    <w:next w:val="695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696">
    <w:name w:val="Основной текст + 12;5 pt"/>
    <w:next w:val="696"/>
    <w:link w:val="728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697">
    <w:name w:val="Основной текст (5) + Не курсив"/>
    <w:next w:val="697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698">
    <w:name w:val="Основной текст Знак"/>
    <w:next w:val="698"/>
    <w:link w:val="648"/>
    <w:rPr>
      <w:sz w:val="24"/>
      <w:szCs w:val="24"/>
    </w:rPr>
  </w:style>
  <w:style w:type="character" w:styleId="699">
    <w:name w:val="Интернет-ссылка"/>
    <w:next w:val="699"/>
    <w:link w:val="621"/>
    <w:rPr>
      <w:rFonts w:cs="Times New Roman"/>
      <w:color w:val="0000ff"/>
      <w:u w:val="single"/>
    </w:rPr>
  </w:style>
  <w:style w:type="character" w:styleId="700">
    <w:name w:val="WW8Num5z1"/>
    <w:next w:val="700"/>
    <w:link w:val="621"/>
    <w:rPr>
      <w:rFonts w:ascii="Courier New" w:hAnsi="Courier New" w:cs="Courier New"/>
    </w:rPr>
  </w:style>
  <w:style w:type="character" w:styleId="701">
    <w:name w:val="Основной текст с отступом Знак"/>
    <w:next w:val="701"/>
    <w:link w:val="621"/>
    <w:rPr>
      <w:sz w:val="28"/>
      <w:szCs w:val="24"/>
    </w:rPr>
  </w:style>
  <w:style w:type="character" w:styleId="702">
    <w:name w:val="Основной текст (5) Exact"/>
    <w:next w:val="702"/>
    <w:rPr>
      <w:rFonts w:ascii="Batang" w:hAnsi="Batang" w:eastAsia="Batang" w:cs="Batang"/>
      <w:sz w:val="22"/>
      <w:szCs w:val="22"/>
      <w:shd w:val="clear" w:color="auto" w:fill="ffffff"/>
    </w:rPr>
  </w:style>
  <w:style w:type="character" w:styleId="703">
    <w:name w:val="Основной текст + Курсив;Интервал 0 pt"/>
    <w:next w:val="703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704">
    <w:name w:val="Основной текст (2) + Интервал 2 pt"/>
    <w:next w:val="704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50"/>
      <w:position w:val="0"/>
      <w:sz w:val="26"/>
      <w:szCs w:val="26"/>
      <w:u w:val="none"/>
      <w:vertAlign w:val="baseline"/>
      <w:lang w:val="ru-RU"/>
    </w:rPr>
  </w:style>
  <w:style w:type="character" w:styleId="705">
    <w:name w:val="Подпись к картинке (2)_"/>
    <w:next w:val="705"/>
    <w:link w:val="621"/>
    <w:rPr>
      <w:b/>
      <w:bCs/>
      <w:sz w:val="27"/>
      <w:szCs w:val="27"/>
      <w:shd w:val="clear" w:color="auto" w:fill="ffffff"/>
    </w:rPr>
  </w:style>
  <w:style w:type="character" w:styleId="706">
    <w:name w:val="Подпись к картинке_"/>
    <w:next w:val="706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7"/>
      <w:szCs w:val="27"/>
      <w:u w:val="none"/>
    </w:rPr>
  </w:style>
  <w:style w:type="character" w:styleId="707">
    <w:name w:val="Подпись к картинке"/>
    <w:next w:val="707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single"/>
      <w:vertAlign w:val="baseline"/>
      <w:lang w:val="ru-RU"/>
    </w:rPr>
  </w:style>
  <w:style w:type="character" w:styleId="708">
    <w:name w:val="Основной текст (2) Exact"/>
    <w:next w:val="708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pacing w:val="-5"/>
      <w:sz w:val="21"/>
      <w:szCs w:val="21"/>
      <w:u w:val="none"/>
    </w:rPr>
  </w:style>
  <w:style w:type="character" w:styleId="709">
    <w:name w:val="Основной текст (4) + Интервал 3 pt"/>
    <w:next w:val="709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70"/>
      <w:position w:val="0"/>
      <w:sz w:val="27"/>
      <w:szCs w:val="27"/>
      <w:u w:val="none"/>
      <w:vertAlign w:val="baseline"/>
      <w:lang w:val="ru-RU"/>
    </w:rPr>
  </w:style>
  <w:style w:type="character" w:styleId="710">
    <w:name w:val="Основной текст (3) + Интервал 3 pt"/>
    <w:next w:val="710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70"/>
      <w:position w:val="0"/>
      <w:sz w:val="27"/>
      <w:szCs w:val="27"/>
      <w:u w:val="none"/>
      <w:vertAlign w:val="baseline"/>
      <w:lang w:val="ru-RU"/>
    </w:rPr>
  </w:style>
  <w:style w:type="character" w:styleId="711">
    <w:name w:val="Основной текст + Интервал 3 pt"/>
    <w:next w:val="711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70"/>
      <w:position w:val="0"/>
      <w:sz w:val="26"/>
      <w:szCs w:val="26"/>
      <w:u w:val="none"/>
      <w:vertAlign w:val="baseline"/>
      <w:lang w:val="ru-RU"/>
    </w:rPr>
  </w:style>
  <w:style w:type="character" w:styleId="712">
    <w:name w:val="Основной текст + 11 pt"/>
    <w:next w:val="71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styleId="713">
    <w:name w:val="Основной текст + 13;5 pt;Полужирный"/>
    <w:next w:val="713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ru-RU"/>
    </w:rPr>
  </w:style>
  <w:style w:type="character" w:styleId="714">
    <w:name w:val="Основной текст + Интервал 2 pt"/>
    <w:next w:val="714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50"/>
      <w:position w:val="0"/>
      <w:sz w:val="25"/>
      <w:szCs w:val="25"/>
      <w:u w:val="none"/>
      <w:vertAlign w:val="baseline"/>
      <w:lang w:val="ru-RU"/>
    </w:rPr>
  </w:style>
  <w:style w:type="character" w:styleId="715">
    <w:name w:val="Основной текст (3) + 8;5 pt;Курсив"/>
    <w:next w:val="715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styleId="716">
    <w:name w:val="Основной текст + 11;5 pt;Интервал 0 pt"/>
    <w:next w:val="716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</w:rPr>
  </w:style>
  <w:style w:type="character" w:styleId="717">
    <w:name w:val="Основной текст + 10 pt"/>
    <w:next w:val="717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0"/>
      <w:position w:val="0"/>
      <w:sz w:val="20"/>
      <w:szCs w:val="20"/>
      <w:u w:val="none"/>
      <w:vertAlign w:val="baseline"/>
      <w:lang w:val="ru-RU"/>
    </w:rPr>
  </w:style>
  <w:style w:type="character" w:styleId="718">
    <w:name w:val="Сноска_"/>
    <w:next w:val="718"/>
    <w:link w:val="621"/>
    <w:rPr>
      <w:spacing w:val="10"/>
      <w:sz w:val="22"/>
      <w:szCs w:val="22"/>
      <w:shd w:val="clear" w:color="auto" w:fill="ffffff"/>
    </w:rPr>
  </w:style>
  <w:style w:type="character" w:styleId="719">
    <w:name w:val="Заголовок №2_"/>
    <w:next w:val="719"/>
    <w:link w:val="621"/>
    <w:rPr>
      <w:b/>
      <w:bCs/>
      <w:spacing w:val="20"/>
      <w:shd w:val="clear" w:color="auto" w:fill="ffffff"/>
    </w:rPr>
  </w:style>
  <w:style w:type="character" w:styleId="720">
    <w:name w:val="Основной текст + 12 pt;Полужирный;Интервал 1 pt"/>
    <w:next w:val="720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position w:val="0"/>
      <w:sz w:val="24"/>
      <w:szCs w:val="24"/>
      <w:u w:val="none"/>
      <w:vertAlign w:val="baseline"/>
      <w:lang w:val="ru-RU"/>
    </w:rPr>
  </w:style>
  <w:style w:type="character" w:styleId="721">
    <w:name w:val="Основной текст + 10 pt;Интервал 0 pt"/>
    <w:next w:val="721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  <w:lang w:val="ru-RU"/>
    </w:rPr>
  </w:style>
  <w:style w:type="character" w:styleId="722">
    <w:name w:val="Основной текст + 8 pt;Интервал 1 pt"/>
    <w:next w:val="722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"/>
      <w:position w:val="0"/>
      <w:sz w:val="16"/>
      <w:szCs w:val="16"/>
      <w:u w:val="none"/>
      <w:vertAlign w:val="baseline"/>
      <w:lang w:val="ru-RU"/>
    </w:rPr>
  </w:style>
  <w:style w:type="character" w:styleId="723">
    <w:name w:val="Основной текст + 8 pt;Интервал 2 pt"/>
    <w:next w:val="723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0"/>
      <w:position w:val="0"/>
      <w:sz w:val="16"/>
      <w:szCs w:val="16"/>
      <w:u w:val="none"/>
      <w:vertAlign w:val="baseline"/>
      <w:lang w:val="ru-RU"/>
    </w:rPr>
  </w:style>
  <w:style w:type="character" w:styleId="724">
    <w:name w:val="Основной текст + 4 pt;Курсив;Интервал 0 pt"/>
    <w:next w:val="724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8"/>
      <w:szCs w:val="8"/>
      <w:u w:val="none"/>
      <w:vertAlign w:val="baseline"/>
    </w:rPr>
  </w:style>
  <w:style w:type="character" w:styleId="725">
    <w:name w:val="Основной текст + 4 pt;Интервал 2 pt"/>
    <w:next w:val="725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50"/>
      <w:position w:val="0"/>
      <w:sz w:val="8"/>
      <w:szCs w:val="8"/>
      <w:u w:val="none"/>
      <w:vertAlign w:val="baseline"/>
      <w:lang w:val="ru-RU"/>
    </w:rPr>
  </w:style>
  <w:style w:type="character" w:styleId="726">
    <w:name w:val="Основной текст + 6;5 pt;Интервал 0 pt"/>
    <w:next w:val="726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3"/>
      <w:szCs w:val="13"/>
      <w:u w:val="none"/>
      <w:vertAlign w:val="baseline"/>
      <w:lang w:val="en-US"/>
    </w:rPr>
  </w:style>
  <w:style w:type="character" w:styleId="727">
    <w:name w:val="Основной текст + Candara;7 pt;Полужирный;Интервал 0 pt"/>
    <w:next w:val="727"/>
    <w:link w:val="621"/>
    <w:rPr>
      <w:rFonts w:ascii="Candara" w:hAnsi="Candara" w:eastAsia="Candara" w:cs="Candara"/>
      <w:b/>
      <w:bCs/>
      <w:i w:val="0"/>
      <w:iCs w:val="0"/>
      <w:caps w:val="0"/>
      <w:smallCaps w:val="0"/>
      <w:strike w:val="0"/>
      <w:color w:val="000000"/>
      <w:spacing w:val="0"/>
      <w:position w:val="0"/>
      <w:sz w:val="14"/>
      <w:szCs w:val="14"/>
      <w:u w:val="none"/>
      <w:vertAlign w:val="baseline"/>
    </w:rPr>
  </w:style>
  <w:style w:type="character" w:styleId="728">
    <w:name w:val="Основной текст + 12 pt;Полужирный;Интервал 0 pt"/>
    <w:next w:val="728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729">
    <w:name w:val="Основной текст + Garamond;5 pt;Интервал 0 pt"/>
    <w:next w:val="729"/>
    <w:link w:val="621"/>
    <w:rPr>
      <w:rFonts w:ascii="Garamond" w:hAnsi="Garamond" w:eastAsia="Garamond" w:cs="Garamond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0"/>
      <w:szCs w:val="10"/>
      <w:u w:val="none"/>
      <w:vertAlign w:val="baseline"/>
    </w:rPr>
  </w:style>
  <w:style w:type="character" w:styleId="730">
    <w:name w:val="Основной текст + 10 pt;Интервал 1 pt"/>
    <w:next w:val="730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0"/>
      <w:position w:val="0"/>
      <w:sz w:val="20"/>
      <w:szCs w:val="20"/>
      <w:u w:val="none"/>
      <w:vertAlign w:val="baseline"/>
      <w:lang w:val="ru-RU"/>
    </w:rPr>
  </w:style>
  <w:style w:type="character" w:styleId="731">
    <w:name w:val="Название Знак"/>
    <w:next w:val="731"/>
    <w:link w:val="621"/>
    <w:rPr>
      <w:rFonts w:ascii="Cambria" w:hAnsi="Cambria" w:cs="Cambria"/>
      <w:b/>
      <w:bCs/>
      <w:sz w:val="32"/>
      <w:szCs w:val="32"/>
    </w:rPr>
  </w:style>
  <w:style w:type="character" w:styleId="732">
    <w:name w:val="Нижний колонтитул Знак"/>
    <w:next w:val="732"/>
    <w:link w:val="621"/>
    <w:rPr>
      <w:rFonts w:ascii="Calibri" w:hAnsi="Calibri" w:cs="Calibri"/>
    </w:rPr>
  </w:style>
  <w:style w:type="character" w:styleId="733">
    <w:name w:val="Подзаголовок Знак"/>
    <w:next w:val="733"/>
    <w:link w:val="62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734">
    <w:name w:val="Сильный акцент"/>
    <w:next w:val="734"/>
    <w:link w:val="621"/>
    <w:rPr>
      <w:b/>
      <w:bCs/>
    </w:rPr>
  </w:style>
  <w:style w:type="character" w:styleId="735">
    <w:name w:val="Акцент"/>
    <w:next w:val="735"/>
    <w:link w:val="621"/>
    <w:rPr>
      <w:i/>
      <w:iCs/>
    </w:rPr>
  </w:style>
  <w:style w:type="character" w:styleId="736">
    <w:name w:val="Цитата 2 Знак"/>
    <w:next w:val="736"/>
    <w:link w:val="621"/>
    <w:rPr>
      <w:rFonts w:ascii="Calibri" w:hAnsi="Calibri" w:cs="Calibri"/>
      <w:i/>
      <w:iCs/>
      <w:color w:val="000000"/>
      <w:sz w:val="22"/>
      <w:szCs w:val="22"/>
    </w:rPr>
  </w:style>
  <w:style w:type="character" w:styleId="737">
    <w:name w:val="Выделенная цитата Знак"/>
    <w:next w:val="737"/>
    <w:link w:val="621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738">
    <w:name w:val="Слабое выделение"/>
    <w:next w:val="738"/>
    <w:link w:val="621"/>
    <w:rPr>
      <w:i/>
      <w:iCs/>
      <w:color w:val="808080"/>
    </w:rPr>
  </w:style>
  <w:style w:type="character" w:styleId="739">
    <w:name w:val="Сильное выделение"/>
    <w:next w:val="739"/>
    <w:link w:val="621"/>
    <w:rPr>
      <w:b/>
      <w:bCs/>
      <w:i/>
      <w:iCs/>
      <w:color w:val="4f81bd"/>
    </w:rPr>
  </w:style>
  <w:style w:type="character" w:styleId="740">
    <w:name w:val="Слабая ссылка"/>
    <w:next w:val="740"/>
    <w:link w:val="621"/>
    <w:rPr>
      <w:smallCaps/>
      <w:color w:val="c0504d"/>
      <w:u w:val="single"/>
    </w:rPr>
  </w:style>
  <w:style w:type="character" w:styleId="741">
    <w:name w:val="Сильная ссылка"/>
    <w:next w:val="741"/>
    <w:link w:val="621"/>
    <w:rPr>
      <w:b/>
      <w:bCs/>
      <w:smallCaps/>
      <w:color w:val="c0504d"/>
      <w:spacing w:val="5"/>
      <w:u w:val="single"/>
    </w:rPr>
  </w:style>
  <w:style w:type="character" w:styleId="742">
    <w:name w:val="Название книги"/>
    <w:next w:val="742"/>
    <w:link w:val="621"/>
    <w:rPr>
      <w:b/>
      <w:bCs/>
      <w:smallCaps/>
      <w:spacing w:val="5"/>
    </w:rPr>
  </w:style>
  <w:style w:type="character" w:styleId="743">
    <w:name w:val="Верхний колонтитул Знак"/>
    <w:next w:val="743"/>
    <w:link w:val="621"/>
    <w:rPr>
      <w:rFonts w:ascii="Calibri" w:hAnsi="Calibri" w:cs="Calibri"/>
      <w:sz w:val="22"/>
      <w:szCs w:val="22"/>
    </w:rPr>
  </w:style>
  <w:style w:type="character" w:styleId="744">
    <w:name w:val="apple-converted-space"/>
    <w:next w:val="744"/>
    <w:link w:val="621"/>
  </w:style>
  <w:style w:type="character" w:styleId="745">
    <w:name w:val="Основной текст с отступом 2 Знак"/>
    <w:next w:val="745"/>
    <w:link w:val="621"/>
    <w:rPr>
      <w:sz w:val="24"/>
      <w:szCs w:val="24"/>
    </w:rPr>
  </w:style>
  <w:style w:type="character" w:styleId="746">
    <w:name w:val="Знак"/>
    <w:next w:val="746"/>
    <w:rPr>
      <w:sz w:val="16"/>
      <w:lang w:val="ru-RU"/>
    </w:rPr>
  </w:style>
  <w:style w:type="character" w:styleId="747">
    <w:name w:val="Стандартный HTML Знак"/>
    <w:next w:val="747"/>
    <w:link w:val="621"/>
    <w:rPr>
      <w:rFonts w:ascii="Arial Unicode MS" w:hAnsi="Arial Unicode MS" w:eastAsia="Arial Unicode MS" w:cs="Arial Unicode MS"/>
    </w:rPr>
  </w:style>
  <w:style w:type="character" w:styleId="748">
    <w:name w:val="Основной текст с отступом 3 Знак"/>
    <w:next w:val="748"/>
    <w:link w:val="621"/>
    <w:rPr>
      <w:sz w:val="16"/>
      <w:szCs w:val="16"/>
    </w:rPr>
  </w:style>
  <w:style w:type="character" w:styleId="749">
    <w:name w:val="Гипертекстовая ссылка"/>
    <w:next w:val="749"/>
    <w:rPr>
      <w:color w:val="106bbe"/>
    </w:rPr>
  </w:style>
  <w:style w:type="character" w:styleId="750">
    <w:name w:val="Посещённая гиперссылка"/>
    <w:next w:val="750"/>
    <w:link w:val="621"/>
    <w:rPr>
      <w:color w:val="954f72"/>
      <w:u w:val="single"/>
    </w:rPr>
  </w:style>
  <w:style w:type="character" w:styleId="751">
    <w:name w:val="Основной текст + 14 pt"/>
    <w:next w:val="751"/>
    <w:link w:val="621"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20"/>
      <w:position w:val="0"/>
      <w:sz w:val="24"/>
      <w:szCs w:val="24"/>
      <w:u w:val="none"/>
      <w:vertAlign w:val="baseline"/>
      <w:lang w:val="ru-RU"/>
    </w:rPr>
  </w:style>
  <w:style w:type="character" w:styleId="752">
    <w:name w:val="Основной текст (3) + 8"/>
    <w:next w:val="752"/>
    <w:link w:val="621"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styleId="753">
    <w:name w:val="Основной текст + 8 pt"/>
    <w:next w:val="753"/>
    <w:link w:val="621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0"/>
      <w:position w:val="0"/>
      <w:sz w:val="16"/>
      <w:szCs w:val="16"/>
      <w:u w:val="none"/>
      <w:vertAlign w:val="baseline"/>
      <w:lang w:val="ru-RU"/>
    </w:rPr>
  </w:style>
  <w:style w:type="character" w:styleId="754">
    <w:name w:val="blk"/>
    <w:next w:val="754"/>
    <w:link w:val="621"/>
  </w:style>
  <w:style w:type="character" w:styleId="755">
    <w:name w:val="Основной шрифт абзаца1"/>
    <w:next w:val="755"/>
    <w:link w:val="621"/>
  </w:style>
  <w:style w:type="character" w:styleId="756">
    <w:name w:val="WW8Num1z0"/>
    <w:next w:val="756"/>
    <w:link w:val="621"/>
    <w:rPr>
      <w:rFonts w:ascii="Times New Roman" w:hAnsi="Times New Roman" w:cs="Times New Roman"/>
    </w:rPr>
  </w:style>
  <w:style w:type="character" w:styleId="757">
    <w:name w:val="Номер страницы"/>
    <w:next w:val="757"/>
    <w:link w:val="621"/>
  </w:style>
  <w:style w:type="character" w:styleId="758">
    <w:name w:val="Схема документа Знак"/>
    <w:next w:val="758"/>
    <w:link w:val="621"/>
    <w:rPr>
      <w:rFonts w:ascii="Tahoma" w:hAnsi="Tahoma" w:cs="Tahoma"/>
      <w:shd w:val="clear" w:color="auto" w:fill="000080"/>
    </w:rPr>
  </w:style>
  <w:style w:type="character" w:styleId="759">
    <w:name w:val="WW8Num4z5"/>
    <w:next w:val="759"/>
    <w:link w:val="621"/>
  </w:style>
  <w:style w:type="paragraph" w:styleId="760">
    <w:name w:val="Заголовок"/>
    <w:basedOn w:val="621"/>
    <w:next w:val="621"/>
    <w:link w:val="621"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761">
    <w:name w:val="Основной текст"/>
    <w:basedOn w:val="621"/>
    <w:next w:val="761"/>
    <w:link w:val="621"/>
    <w:pPr>
      <w:jc w:val="both"/>
    </w:pPr>
    <w:rPr>
      <w:sz w:val="26"/>
    </w:rPr>
  </w:style>
  <w:style w:type="paragraph" w:styleId="762">
    <w:name w:val="Список"/>
    <w:basedOn w:val="761"/>
    <w:next w:val="762"/>
    <w:link w:val="621"/>
    <w:rPr>
      <w:rFonts w:ascii="PT Astra Serif" w:hAnsi="PT Astra Serif" w:cs="Noto Sans Devanagari"/>
    </w:rPr>
  </w:style>
  <w:style w:type="paragraph" w:styleId="763">
    <w:name w:val="Название"/>
    <w:basedOn w:val="621"/>
    <w:next w:val="763"/>
    <w:link w:val="621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764">
    <w:name w:val="Указатель"/>
    <w:basedOn w:val="621"/>
    <w:next w:val="764"/>
    <w:link w:val="621"/>
    <w:pPr>
      <w:suppressLineNumbers/>
    </w:pPr>
    <w:rPr>
      <w:rFonts w:ascii="PT Astra Serif" w:hAnsi="PT Astra Serif" w:cs="Noto Sans Devanagari"/>
    </w:rPr>
  </w:style>
  <w:style w:type="paragraph" w:styleId="765">
    <w:name w:val="Название объекта"/>
    <w:basedOn w:val="621"/>
    <w:next w:val="765"/>
    <w:link w:val="621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766">
    <w:name w:val="Указатель1"/>
    <w:basedOn w:val="621"/>
    <w:next w:val="766"/>
    <w:link w:val="621"/>
    <w:pPr>
      <w:suppressLineNumbers/>
    </w:pPr>
    <w:rPr>
      <w:rFonts w:ascii="PT Astra Serif" w:hAnsi="PT Astra Serif" w:cs="Noto Sans Devanagari"/>
      <w:lang w:val="en-US" w:bidi="en-US"/>
    </w:rPr>
  </w:style>
  <w:style w:type="paragraph" w:styleId="767">
    <w:name w:val="Основной текст 22"/>
    <w:basedOn w:val="621"/>
    <w:next w:val="767"/>
    <w:link w:val="621"/>
    <w:rPr>
      <w:b/>
      <w:bCs/>
    </w:rPr>
  </w:style>
  <w:style w:type="paragraph" w:styleId="768">
    <w:name w:val="Основной текст 31"/>
    <w:basedOn w:val="621"/>
    <w:next w:val="768"/>
    <w:link w:val="621"/>
    <w:pPr>
      <w:jc w:val="both"/>
    </w:pPr>
    <w:rPr>
      <w:sz w:val="30"/>
    </w:rPr>
  </w:style>
  <w:style w:type="paragraph" w:styleId="769">
    <w:name w:val="Текст выноски"/>
    <w:basedOn w:val="621"/>
    <w:next w:val="769"/>
    <w:link w:val="621"/>
    <w:rPr>
      <w:rFonts w:ascii="Tahoma" w:hAnsi="Tahoma" w:cs="Tahoma"/>
      <w:sz w:val="16"/>
      <w:szCs w:val="16"/>
    </w:rPr>
  </w:style>
  <w:style w:type="paragraph" w:styleId="770">
    <w:name w:val="ConsPlusNormal"/>
    <w:next w:val="770"/>
    <w:link w:val="621"/>
    <w:pPr>
      <w:ind w:left="0" w:right="0"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771">
    <w:name w:val="Заголовок №11"/>
    <w:basedOn w:val="621"/>
    <w:next w:val="771"/>
    <w:link w:val="621"/>
    <w:pPr>
      <w:jc w:val="center"/>
      <w:spacing w:before="0" w:after="240" w:line="326" w:lineRule="exact"/>
      <w:shd w:val="clear" w:color="auto" w:fill="ffffff"/>
      <w:widowControl w:val="off"/>
      <w:outlineLvl w:val="0"/>
    </w:pPr>
    <w:rPr>
      <w:b/>
      <w:bCs/>
      <w:sz w:val="26"/>
      <w:szCs w:val="26"/>
    </w:rPr>
  </w:style>
  <w:style w:type="paragraph" w:styleId="772">
    <w:name w:val="Обычный (веб)"/>
    <w:basedOn w:val="621"/>
    <w:next w:val="772"/>
    <w:link w:val="621"/>
    <w:pPr>
      <w:spacing w:before="100" w:after="119"/>
    </w:pPr>
  </w:style>
  <w:style w:type="paragraph" w:styleId="773">
    <w:name w:val="Standard"/>
    <w:next w:val="773"/>
    <w:link w:val="621"/>
    <w:pPr>
      <w:widowControl w:val="off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774">
    <w:name w:val="Table Contents"/>
    <w:basedOn w:val="773"/>
    <w:next w:val="774"/>
    <w:link w:val="621"/>
    <w:pPr>
      <w:suppressLineNumbers/>
    </w:pPr>
  </w:style>
  <w:style w:type="paragraph" w:styleId="775">
    <w:name w:val="Основной текст (2)"/>
    <w:basedOn w:val="621"/>
    <w:next w:val="775"/>
    <w:link w:val="621"/>
    <w:pPr>
      <w:jc w:val="center"/>
      <w:spacing w:before="0" w:after="300" w:line="317" w:lineRule="exact"/>
      <w:shd w:val="clear" w:color="auto" w:fill="ffffff"/>
      <w:widowControl w:val="off"/>
    </w:pPr>
    <w:rPr>
      <w:b/>
      <w:bCs/>
      <w:sz w:val="28"/>
      <w:szCs w:val="28"/>
    </w:rPr>
  </w:style>
  <w:style w:type="paragraph" w:styleId="776">
    <w:name w:val="Основной текст2"/>
    <w:basedOn w:val="621"/>
    <w:next w:val="776"/>
    <w:link w:val="621"/>
    <w:pPr>
      <w:ind w:left="0" w:right="0" w:firstLine="720"/>
      <w:jc w:val="both"/>
      <w:spacing w:before="300" w:after="300" w:line="322" w:lineRule="exact"/>
      <w:shd w:val="clear" w:color="auto" w:fill="ffffff"/>
      <w:widowControl w:val="off"/>
    </w:pPr>
    <w:rPr>
      <w:sz w:val="29"/>
      <w:szCs w:val="29"/>
    </w:rPr>
  </w:style>
  <w:style w:type="paragraph" w:styleId="777">
    <w:name w:val="Основной текст (3)"/>
    <w:basedOn w:val="621"/>
    <w:next w:val="777"/>
    <w:link w:val="621"/>
    <w:pPr>
      <w:jc w:val="right"/>
      <w:spacing w:line="250" w:lineRule="exact"/>
      <w:shd w:val="clear" w:color="auto" w:fill="ffffff"/>
      <w:widowControl w:val="off"/>
    </w:pPr>
    <w:rPr>
      <w:b/>
      <w:bCs/>
      <w:sz w:val="21"/>
      <w:szCs w:val="21"/>
    </w:rPr>
  </w:style>
  <w:style w:type="paragraph" w:styleId="778">
    <w:name w:val="Основной текст (4)"/>
    <w:basedOn w:val="621"/>
    <w:next w:val="778"/>
    <w:link w:val="621"/>
    <w:pPr>
      <w:jc w:val="center"/>
      <w:spacing w:before="600" w:after="300" w:line="0" w:lineRule="atLeast"/>
      <w:shd w:val="clear" w:color="auto" w:fill="ffffff"/>
      <w:widowControl w:val="off"/>
    </w:pPr>
    <w:rPr>
      <w:b/>
      <w:bCs/>
      <w:sz w:val="23"/>
      <w:szCs w:val="23"/>
    </w:rPr>
  </w:style>
  <w:style w:type="paragraph" w:styleId="779">
    <w:name w:val="Основной текст (5)"/>
    <w:basedOn w:val="621"/>
    <w:next w:val="779"/>
    <w:link w:val="621"/>
    <w:pPr>
      <w:jc w:val="both"/>
      <w:spacing w:line="322" w:lineRule="exact"/>
      <w:shd w:val="clear" w:color="auto" w:fill="ffffff"/>
      <w:widowControl w:val="off"/>
    </w:pPr>
    <w:rPr>
      <w:i/>
      <w:iCs/>
      <w:sz w:val="28"/>
      <w:szCs w:val="28"/>
    </w:rPr>
  </w:style>
  <w:style w:type="paragraph" w:styleId="780">
    <w:name w:val="ConsPlusNonformat"/>
    <w:next w:val="780"/>
    <w:link w:val="621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781">
    <w:name w:val="ConsPlusTitle"/>
    <w:next w:val="781"/>
    <w:link w:val="621"/>
    <w:pPr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782">
    <w:name w:val="ConsPlusCell"/>
    <w:next w:val="782"/>
    <w:link w:val="621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783">
    <w:name w:val="ConsPlusDocList"/>
    <w:next w:val="783"/>
    <w:link w:val="621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784">
    <w:name w:val="Основной текст с отступом"/>
    <w:basedOn w:val="621"/>
    <w:next w:val="784"/>
    <w:link w:val="621"/>
    <w:pPr>
      <w:ind w:left="0" w:right="0" w:firstLine="720"/>
      <w:jc w:val="both"/>
    </w:pPr>
    <w:rPr>
      <w:sz w:val="28"/>
    </w:rPr>
  </w:style>
  <w:style w:type="paragraph" w:styleId="785">
    <w:name w:val="Без интервала"/>
    <w:next w:val="785"/>
    <w:link w:val="621"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786">
    <w:name w:val="Подпись к картинке (2)"/>
    <w:basedOn w:val="621"/>
    <w:next w:val="786"/>
    <w:link w:val="621"/>
    <w:pPr>
      <w:spacing w:line="0" w:lineRule="atLeast"/>
      <w:shd w:val="clear" w:color="auto" w:fill="ffffff"/>
      <w:widowControl w:val="off"/>
    </w:pPr>
    <w:rPr>
      <w:b/>
      <w:bCs/>
      <w:sz w:val="27"/>
      <w:szCs w:val="27"/>
    </w:rPr>
  </w:style>
  <w:style w:type="paragraph" w:styleId="787">
    <w:name w:val="Сноска"/>
    <w:basedOn w:val="621"/>
    <w:next w:val="787"/>
    <w:link w:val="621"/>
    <w:pPr>
      <w:jc w:val="both"/>
      <w:spacing w:line="326" w:lineRule="exact"/>
      <w:shd w:val="clear" w:color="auto" w:fill="ffffff"/>
      <w:widowControl w:val="off"/>
    </w:pPr>
    <w:rPr>
      <w:spacing w:val="10"/>
      <w:sz w:val="22"/>
      <w:szCs w:val="22"/>
    </w:rPr>
  </w:style>
  <w:style w:type="paragraph" w:styleId="788">
    <w:name w:val="Заголовок №2"/>
    <w:basedOn w:val="621"/>
    <w:next w:val="788"/>
    <w:link w:val="621"/>
    <w:pPr>
      <w:jc w:val="center"/>
      <w:spacing w:before="0" w:after="300" w:line="322" w:lineRule="exact"/>
      <w:shd w:val="clear" w:color="auto" w:fill="ffffff"/>
      <w:widowControl w:val="off"/>
      <w:outlineLvl w:val="1"/>
    </w:pPr>
    <w:rPr>
      <w:b/>
      <w:bCs/>
      <w:spacing w:val="20"/>
      <w:sz w:val="20"/>
      <w:szCs w:val="20"/>
    </w:rPr>
  </w:style>
  <w:style w:type="paragraph" w:styleId="789">
    <w:name w:val="Основной текст3"/>
    <w:basedOn w:val="621"/>
    <w:next w:val="789"/>
    <w:link w:val="621"/>
    <w:pPr>
      <w:ind w:left="0" w:right="0" w:firstLine="2240"/>
      <w:spacing w:line="274" w:lineRule="exact"/>
      <w:shd w:val="clear" w:color="auto" w:fill="ffffff"/>
      <w:widowControl w:val="off"/>
    </w:pPr>
    <w:rPr>
      <w:color w:val="000000"/>
      <w:spacing w:val="10"/>
      <w:sz w:val="22"/>
      <w:szCs w:val="22"/>
    </w:rPr>
  </w:style>
  <w:style w:type="paragraph" w:styleId="790">
    <w:name w:val="Название объекта2"/>
    <w:basedOn w:val="621"/>
    <w:next w:val="621"/>
    <w:link w:val="621"/>
    <w:pPr>
      <w:jc w:val="center"/>
      <w:spacing w:before="120" w:after="200" w:line="276" w:lineRule="auto"/>
    </w:pPr>
    <w:rPr>
      <w:rFonts w:ascii="Calibri" w:hAnsi="Calibri" w:cs="Calibri"/>
      <w:sz w:val="36"/>
      <w:szCs w:val="22"/>
    </w:rPr>
  </w:style>
  <w:style w:type="paragraph" w:styleId="791">
    <w:name w:val="Колонтитул"/>
    <w:basedOn w:val="621"/>
    <w:next w:val="791"/>
    <w:link w:val="621"/>
    <w:pPr>
      <w:tabs>
        <w:tab w:val="center" w:pos="4819" w:leader="none"/>
        <w:tab w:val="right" w:pos="9638" w:leader="none"/>
      </w:tabs>
      <w:suppressLineNumbers/>
    </w:pPr>
  </w:style>
  <w:style w:type="paragraph" w:styleId="792">
    <w:name w:val="Нижний колонтитул"/>
    <w:basedOn w:val="621"/>
    <w:next w:val="792"/>
    <w:link w:val="621"/>
    <w:pPr>
      <w:spacing w:before="0" w:after="200" w:line="276" w:lineRule="auto"/>
      <w:tabs>
        <w:tab w:val="center" w:pos="4153" w:leader="none"/>
        <w:tab w:val="right" w:pos="8306" w:leader="none"/>
      </w:tabs>
    </w:pPr>
    <w:rPr>
      <w:rFonts w:ascii="Calibri" w:hAnsi="Calibri" w:cs="Calibri"/>
      <w:sz w:val="20"/>
      <w:szCs w:val="20"/>
    </w:rPr>
  </w:style>
  <w:style w:type="paragraph" w:styleId="793">
    <w:name w:val="Абзац списка"/>
    <w:basedOn w:val="621"/>
    <w:next w:val="793"/>
    <w:link w:val="621"/>
    <w:pPr>
      <w:contextualSpacing/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794">
    <w:name w:val="Название объекта1"/>
    <w:basedOn w:val="621"/>
    <w:next w:val="621"/>
    <w:link w:val="621"/>
    <w:pPr>
      <w:spacing w:before="0"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795">
    <w:name w:val="Подзаголовок"/>
    <w:basedOn w:val="621"/>
    <w:next w:val="621"/>
    <w:link w:val="621"/>
    <w:pPr>
      <w:numPr>
        <w:ilvl w:val="0"/>
        <w:numId w:val="0"/>
      </w:numPr>
      <w:ind w:left="0" w:right="0" w:firstLine="0"/>
      <w:spacing w:before="0" w:after="200" w:line="276" w:lineRule="auto"/>
    </w:pPr>
    <w:rPr>
      <w:rFonts w:ascii="Cambria" w:hAnsi="Cambria" w:cs="Cambria"/>
      <w:i/>
      <w:iCs/>
      <w:color w:val="4f81bd"/>
      <w:spacing w:val="15"/>
    </w:rPr>
  </w:style>
  <w:style w:type="paragraph" w:styleId="796">
    <w:name w:val="Цитата 2"/>
    <w:basedOn w:val="621"/>
    <w:next w:val="621"/>
    <w:link w:val="621"/>
    <w:pPr>
      <w:spacing w:before="0"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797">
    <w:name w:val="Выделенная цитата"/>
    <w:basedOn w:val="621"/>
    <w:next w:val="621"/>
    <w:link w:val="621"/>
    <w:pPr>
      <w:ind w:left="936" w:right="936" w:firstLine="0"/>
      <w:spacing w:before="200" w:after="280" w:line="276" w:lineRule="auto"/>
      <w:pBdr>
        <w:top w:val="none" w:color="000000" w:sz="0" w:space="0"/>
        <w:left w:val="none" w:color="000000" w:sz="0" w:space="0"/>
        <w:bottom w:val="single" w:color="4F81BD" w:sz="4" w:space="4"/>
        <w:right w:val="none" w:color="000000" w:sz="0" w:space="0"/>
      </w:pBdr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798">
    <w:name w:val="Заголовок указателя"/>
    <w:basedOn w:val="760"/>
    <w:next w:val="798"/>
    <w:link w:val="621"/>
    <w:pPr>
      <w:ind w:left="0" w:right="0" w:firstLine="0"/>
      <w:suppressLineNumbers/>
    </w:pPr>
    <w:rPr>
      <w:b/>
      <w:bCs/>
      <w:sz w:val="32"/>
      <w:szCs w:val="32"/>
    </w:rPr>
  </w:style>
  <w:style w:type="paragraph" w:styleId="799">
    <w:name w:val="Заголовок таблицы ссылок"/>
    <w:basedOn w:val="622"/>
    <w:next w:val="621"/>
    <w:link w:val="621"/>
    <w:pPr>
      <w:numPr>
        <w:ilvl w:val="0"/>
        <w:numId w:val="0"/>
      </w:numPr>
      <w:ind w:left="0" w:right="0" w:firstLine="0"/>
      <w:jc w:val="left"/>
      <w:keepLines/>
      <w:spacing w:before="480" w:after="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800">
    <w:name w:val="Верхний колонтитул"/>
    <w:basedOn w:val="621"/>
    <w:next w:val="800"/>
    <w:link w:val="621"/>
    <w:pPr>
      <w:tabs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801">
    <w:name w:val="western"/>
    <w:basedOn w:val="621"/>
    <w:next w:val="801"/>
    <w:link w:val="621"/>
    <w:pPr>
      <w:spacing w:before="100" w:after="100"/>
    </w:pPr>
  </w:style>
  <w:style w:type="paragraph" w:styleId="802">
    <w:name w:val="Основной текст с отступом 22"/>
    <w:basedOn w:val="621"/>
    <w:next w:val="802"/>
    <w:link w:val="621"/>
    <w:pPr>
      <w:ind w:left="283" w:right="0" w:firstLine="0"/>
      <w:spacing w:before="0" w:after="120" w:line="480" w:lineRule="auto"/>
    </w:pPr>
  </w:style>
  <w:style w:type="paragraph" w:styleId="803">
    <w:name w:val="lst"/>
    <w:basedOn w:val="621"/>
    <w:next w:val="803"/>
    <w:link w:val="621"/>
    <w:pPr>
      <w:numPr>
        <w:ilvl w:val="0"/>
        <w:numId w:val="2"/>
      </w:numPr>
      <w:jc w:val="both"/>
      <w:spacing w:line="360" w:lineRule="auto"/>
    </w:pPr>
    <w:rPr>
      <w:sz w:val="26"/>
      <w:szCs w:val="20"/>
    </w:rPr>
  </w:style>
  <w:style w:type="paragraph" w:styleId="804">
    <w:name w:val="Стандартный HTML"/>
    <w:basedOn w:val="621"/>
    <w:next w:val="804"/>
    <w:link w:val="6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805">
    <w:name w:val="Preformat"/>
    <w:next w:val="805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806">
    <w:name w:val="Основной текст с отступом 31"/>
    <w:basedOn w:val="621"/>
    <w:next w:val="806"/>
    <w:link w:val="621"/>
    <w:pPr>
      <w:ind w:left="283" w:right="0" w:firstLine="0"/>
      <w:spacing w:before="0" w:after="120"/>
    </w:pPr>
    <w:rPr>
      <w:sz w:val="16"/>
      <w:szCs w:val="16"/>
    </w:rPr>
  </w:style>
  <w:style w:type="paragraph" w:styleId="807">
    <w:name w:val="Normal Знак Знак Знак"/>
    <w:next w:val="807"/>
    <w:link w:val="621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808">
    <w:name w:val="Содержимое таблицы"/>
    <w:basedOn w:val="621"/>
    <w:next w:val="808"/>
    <w:pPr>
      <w:widowControl w:val="off"/>
      <w:suppressLineNumbers/>
    </w:pPr>
    <w:rPr>
      <w:rFonts w:eastAsia="Andale Sans UI"/>
      <w:lang w:val="en-US"/>
    </w:rPr>
  </w:style>
  <w:style w:type="paragraph" w:styleId="809">
    <w:name w:val="a5c8b0e714da563fe90b98cef41456e9db9fe9049761426654245bb2dd862eecmsonormal"/>
    <w:basedOn w:val="621"/>
    <w:next w:val="809"/>
    <w:link w:val="621"/>
    <w:pPr>
      <w:spacing w:before="280" w:after="280"/>
    </w:pPr>
    <w:rPr>
      <w:lang w:eastAsia="zh-CN"/>
    </w:rPr>
  </w:style>
  <w:style w:type="paragraph" w:styleId="810">
    <w:name w:val="Основной текст с отступом 21"/>
    <w:basedOn w:val="621"/>
    <w:next w:val="810"/>
    <w:link w:val="621"/>
    <w:pPr>
      <w:ind w:left="0" w:right="0" w:firstLine="540"/>
      <w:jc w:val="both"/>
    </w:pPr>
    <w:rPr>
      <w:rFonts w:eastAsia="Calibri" w:cs="Calibri"/>
      <w:lang w:eastAsia="zh-CN"/>
    </w:rPr>
  </w:style>
  <w:style w:type="paragraph" w:styleId="811">
    <w:name w:val="p13"/>
    <w:basedOn w:val="621"/>
    <w:next w:val="811"/>
    <w:link w:val="621"/>
    <w:pPr>
      <w:spacing w:before="100" w:after="100"/>
    </w:pPr>
  </w:style>
  <w:style w:type="paragraph" w:styleId="812">
    <w:name w:val="Iniiaiie oaeno io?aoa"/>
    <w:next w:val="812"/>
    <w:link w:val="621"/>
    <w:pPr>
      <w:ind w:left="0" w:right="0" w:firstLine="720"/>
      <w:jc w:val="both"/>
      <w:spacing w:line="240" w:lineRule="atLeast"/>
      <w:widowControl w:val="off"/>
    </w:pPr>
    <w:rPr>
      <w:rFonts w:ascii="Times New Roman" w:hAnsi="Times New Roman" w:eastAsia="Times New Roman" w:cs="Times New Roman"/>
      <w:color w:val="auto"/>
      <w:sz w:val="24"/>
      <w:szCs w:val="20"/>
      <w:lang w:val="en-US" w:eastAsia="zh-CN" w:bidi="ar-SA"/>
    </w:rPr>
  </w:style>
  <w:style w:type="paragraph" w:styleId="813">
    <w:name w:val="formattext"/>
    <w:basedOn w:val="621"/>
    <w:next w:val="813"/>
    <w:link w:val="621"/>
    <w:pPr>
      <w:spacing w:before="100" w:after="100"/>
    </w:pPr>
  </w:style>
  <w:style w:type="paragraph" w:styleId="814">
    <w:name w:val="Содержимое врезки"/>
    <w:basedOn w:val="621"/>
    <w:next w:val="814"/>
    <w:link w:val="621"/>
    <w:rPr>
      <w:lang w:eastAsia="zh-CN"/>
    </w:rPr>
  </w:style>
  <w:style w:type="paragraph" w:styleId="815">
    <w:name w:val="Style12"/>
    <w:basedOn w:val="621"/>
    <w:next w:val="815"/>
    <w:link w:val="621"/>
    <w:pPr>
      <w:ind w:left="0" w:right="0" w:firstLine="720"/>
      <w:jc w:val="both"/>
      <w:spacing w:line="278" w:lineRule="exact"/>
      <w:widowControl w:val="off"/>
    </w:pPr>
  </w:style>
  <w:style w:type="paragraph" w:styleId="816">
    <w:name w:val="Заголовок статьи"/>
    <w:basedOn w:val="621"/>
    <w:next w:val="621"/>
    <w:link w:val="621"/>
    <w:pPr>
      <w:ind w:left="1612" w:right="0" w:hanging="892"/>
      <w:jc w:val="both"/>
      <w:widowControl w:val="off"/>
    </w:pPr>
    <w:rPr>
      <w:rFonts w:ascii="Arial" w:hAnsi="Arial" w:cs="Arial"/>
    </w:rPr>
  </w:style>
  <w:style w:type="paragraph" w:styleId="817">
    <w:name w:val="Стиль 14 пт По ширине Первая строка:  127 см Междустр.интервал:..."/>
    <w:basedOn w:val="621"/>
    <w:next w:val="817"/>
    <w:link w:val="621"/>
    <w:pPr>
      <w:ind w:left="0" w:right="0" w:firstLine="720"/>
      <w:jc w:val="both"/>
      <w:spacing w:line="360" w:lineRule="auto"/>
    </w:pPr>
    <w:rPr>
      <w:sz w:val="28"/>
      <w:szCs w:val="20"/>
    </w:rPr>
  </w:style>
  <w:style w:type="paragraph" w:styleId="818">
    <w:name w:val="Схема документа1"/>
    <w:basedOn w:val="621"/>
    <w:next w:val="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819">
    <w:name w:val="Body Text 23"/>
    <w:basedOn w:val="621"/>
    <w:next w:val="819"/>
    <w:link w:val="621"/>
    <w:pPr>
      <w:jc w:val="both"/>
      <w:widowControl w:val="off"/>
    </w:pPr>
    <w:rPr>
      <w:sz w:val="20"/>
      <w:szCs w:val="20"/>
      <w:lang w:eastAsia="zh-CN"/>
    </w:rPr>
  </w:style>
  <w:style w:type="paragraph" w:styleId="820">
    <w:name w:val="Основной текст 21"/>
    <w:basedOn w:val="621"/>
    <w:next w:val="820"/>
    <w:link w:val="621"/>
    <w:rPr>
      <w:b/>
      <w:bCs/>
      <w:lang w:val="en-US" w:eastAsia="zh-CN"/>
    </w:rPr>
  </w:style>
  <w:style w:type="paragraph" w:styleId="821">
    <w:name w:val="Заголовок таблицы"/>
    <w:basedOn w:val="808"/>
    <w:next w:val="821"/>
    <w:link w:val="621"/>
    <w:pPr>
      <w:jc w:val="center"/>
      <w:suppressLineNumbers/>
    </w:pPr>
    <w:rPr>
      <w:b/>
      <w:bCs/>
    </w:rPr>
  </w:style>
  <w:style w:type="character" w:styleId="21868" w:default="1">
    <w:name w:val="Default Paragraph Font"/>
    <w:uiPriority w:val="1"/>
    <w:semiHidden/>
    <w:unhideWhenUsed/>
  </w:style>
  <w:style w:type="numbering" w:styleId="218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revision>3</cp:revision>
  <dcterms:created xsi:type="dcterms:W3CDTF">2024-03-20T11:17:00Z</dcterms:created>
  <dcterms:modified xsi:type="dcterms:W3CDTF">2024-05-03T07:47:37Z</dcterms:modified>
</cp:coreProperties>
</file>